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CC4E6" w14:textId="66A7F64E" w:rsidR="00A75663" w:rsidRDefault="00B51B91">
      <w:pPr>
        <w:jc w:val="center"/>
        <w:rPr>
          <w:b/>
          <w:sz w:val="20"/>
        </w:rPr>
      </w:pPr>
      <w:r>
        <w:rPr>
          <w:b/>
          <w:sz w:val="20"/>
        </w:rPr>
        <w:t xml:space="preserve">ADATKEZELÉSI TÁJÉKOZTATÓ </w:t>
      </w:r>
    </w:p>
    <w:p w14:paraId="13235DCD" w14:textId="55AC9925" w:rsidR="004E4BFF" w:rsidRDefault="00E702FE" w:rsidP="00E702FE">
      <w:pPr>
        <w:jc w:val="center"/>
        <w:rPr>
          <w:b/>
          <w:sz w:val="20"/>
        </w:rPr>
      </w:pPr>
      <w:bookmarkStart w:id="0" w:name="_GoBack"/>
      <w:bookmarkEnd w:id="0"/>
      <w:r w:rsidRPr="00E702FE">
        <w:rPr>
          <w:b/>
          <w:sz w:val="20"/>
        </w:rPr>
        <w:t>37. OTDK PPAK szekció bírálók toborzásához szükséges adatok gyűjtéséhez</w:t>
      </w:r>
    </w:p>
    <w:p w14:paraId="597C10FC" w14:textId="77777777" w:rsidR="00E702FE" w:rsidRDefault="00E702FE">
      <w:pPr>
        <w:jc w:val="both"/>
        <w:rPr>
          <w:b/>
          <w:bCs/>
          <w:sz w:val="20"/>
        </w:rPr>
      </w:pPr>
    </w:p>
    <w:p w14:paraId="66A1ACD5" w14:textId="126B6C23" w:rsidR="001E5D10" w:rsidRDefault="00B51B91">
      <w:pPr>
        <w:jc w:val="both"/>
        <w:rPr>
          <w:sz w:val="20"/>
        </w:rPr>
      </w:pPr>
      <w:r>
        <w:rPr>
          <w:bCs/>
          <w:sz w:val="20"/>
        </w:rPr>
        <w:t>Az</w:t>
      </w:r>
      <w:r>
        <w:rPr>
          <w:b/>
          <w:bCs/>
          <w:sz w:val="20"/>
        </w:rPr>
        <w:t xml:space="preserve"> </w:t>
      </w:r>
      <w:r>
        <w:rPr>
          <w:sz w:val="20"/>
        </w:rPr>
        <w:t xml:space="preserve">Európai Parlament és a Tanács (EU) 2016/679 rendelete (a továbbiakban </w:t>
      </w:r>
      <w:r>
        <w:rPr>
          <w:b/>
          <w:sz w:val="20"/>
        </w:rPr>
        <w:t>GDPR</w:t>
      </w:r>
      <w:r>
        <w:rPr>
          <w:sz w:val="20"/>
        </w:rPr>
        <w:t xml:space="preserve">) 12. cikk (1) bekezdése értelmében az Eötvös Loránd Tudományegyetem tájékoztatja az érintettet </w:t>
      </w:r>
      <w:r w:rsidR="004D65A8">
        <w:rPr>
          <w:sz w:val="20"/>
        </w:rPr>
        <w:t>2024</w:t>
      </w:r>
      <w:r w:rsidR="0020678E">
        <w:rPr>
          <w:sz w:val="20"/>
        </w:rPr>
        <w:t xml:space="preserve">. </w:t>
      </w:r>
      <w:r w:rsidR="004D65A8">
        <w:rPr>
          <w:sz w:val="20"/>
        </w:rPr>
        <w:t>április</w:t>
      </w:r>
      <w:r w:rsidR="0020678E">
        <w:rPr>
          <w:sz w:val="20"/>
        </w:rPr>
        <w:t xml:space="preserve"> </w:t>
      </w:r>
      <w:r w:rsidR="004D65A8">
        <w:rPr>
          <w:sz w:val="20"/>
        </w:rPr>
        <w:t>22-24 között megrendezésre kerülő 37. OTDK PPAK szekciójának szervezéséhez kapcsolódó</w:t>
      </w:r>
      <w:r>
        <w:rPr>
          <w:sz w:val="20"/>
        </w:rPr>
        <w:t xml:space="preserve"> adatkezelésről.</w:t>
      </w:r>
    </w:p>
    <w:p w14:paraId="63705380" w14:textId="77777777" w:rsidR="001E5D10" w:rsidRDefault="001E5D10">
      <w:pPr>
        <w:jc w:val="both"/>
        <w:rPr>
          <w:b/>
          <w:bCs/>
          <w:sz w:val="20"/>
        </w:rPr>
      </w:pPr>
    </w:p>
    <w:p w14:paraId="67403375" w14:textId="77C21438" w:rsidR="001E5D10" w:rsidRDefault="00B51B91">
      <w:pPr>
        <w:jc w:val="both"/>
        <w:rPr>
          <w:b/>
          <w:sz w:val="20"/>
          <w:u w:val="single"/>
        </w:rPr>
      </w:pPr>
      <w:r>
        <w:rPr>
          <w:b/>
          <w:sz w:val="20"/>
          <w:u w:val="single"/>
        </w:rPr>
        <w:t>Ki lesz az Ön adatainak kezelésére/feldolgozására feljogosítva?</w:t>
      </w:r>
    </w:p>
    <w:p w14:paraId="2503072B" w14:textId="77777777" w:rsidR="001E5D10" w:rsidRDefault="00B51B91">
      <w:pPr>
        <w:jc w:val="both"/>
        <w:rPr>
          <w:b/>
          <w:sz w:val="20"/>
        </w:rPr>
      </w:pPr>
      <w:r>
        <w:rPr>
          <w:b/>
          <w:sz w:val="20"/>
        </w:rPr>
        <w:t xml:space="preserve">Adatkezelő: </w:t>
      </w:r>
    </w:p>
    <w:p w14:paraId="0036B32C" w14:textId="77777777" w:rsidR="001E5D10" w:rsidRDefault="00B51B91">
      <w:pPr>
        <w:jc w:val="both"/>
        <w:rPr>
          <w:b/>
          <w:sz w:val="20"/>
        </w:rPr>
      </w:pPr>
      <w:r>
        <w:rPr>
          <w:b/>
          <w:sz w:val="20"/>
        </w:rPr>
        <w:t>Eötvös Loránd Tudományegyetem</w:t>
      </w:r>
    </w:p>
    <w:p w14:paraId="4D845B73" w14:textId="77777777" w:rsidR="001E5D10" w:rsidRDefault="00B51B91">
      <w:pPr>
        <w:jc w:val="both"/>
        <w:rPr>
          <w:sz w:val="20"/>
        </w:rPr>
      </w:pPr>
      <w:r>
        <w:rPr>
          <w:sz w:val="20"/>
        </w:rPr>
        <w:t>1053 Budapest, Egyetem tér 1-3.</w:t>
      </w:r>
    </w:p>
    <w:p w14:paraId="69B53B05" w14:textId="52E1D96C" w:rsidR="001E5D10" w:rsidRPr="000C7FB5" w:rsidRDefault="00B51B91">
      <w:pPr>
        <w:pStyle w:val="Listaszerbekezds"/>
        <w:spacing w:after="0" w:line="240" w:lineRule="auto"/>
        <w:ind w:left="142"/>
        <w:jc w:val="both"/>
        <w:rPr>
          <w:rFonts w:ascii="Times New Roman" w:hAnsi="Times New Roman"/>
          <w:sz w:val="20"/>
          <w:szCs w:val="20"/>
        </w:rPr>
      </w:pPr>
      <w:r w:rsidRPr="000C7FB5">
        <w:rPr>
          <w:rFonts w:ascii="Times New Roman" w:hAnsi="Times New Roman"/>
          <w:sz w:val="20"/>
          <w:szCs w:val="20"/>
        </w:rPr>
        <w:t xml:space="preserve">Felelős szervezeti egység: </w:t>
      </w:r>
      <w:r w:rsidR="00A75663" w:rsidRPr="000C7FB5">
        <w:rPr>
          <w:rFonts w:ascii="Times New Roman" w:hAnsi="Times New Roman"/>
          <w:sz w:val="20"/>
          <w:szCs w:val="20"/>
        </w:rPr>
        <w:t>ELTE PPK-PPI</w:t>
      </w:r>
    </w:p>
    <w:p w14:paraId="68A61AC9" w14:textId="2E0A1DFE" w:rsidR="001E5D10" w:rsidRDefault="00B51B91">
      <w:pPr>
        <w:pStyle w:val="Listaszerbekezds"/>
        <w:spacing w:after="0" w:line="240" w:lineRule="auto"/>
        <w:ind w:left="142"/>
        <w:jc w:val="both"/>
        <w:rPr>
          <w:rFonts w:ascii="Times New Roman" w:hAnsi="Times New Roman"/>
          <w:sz w:val="20"/>
          <w:szCs w:val="20"/>
        </w:rPr>
      </w:pPr>
      <w:r w:rsidRPr="000C7FB5">
        <w:rPr>
          <w:rFonts w:ascii="Times New Roman" w:hAnsi="Times New Roman"/>
          <w:sz w:val="20"/>
          <w:szCs w:val="20"/>
        </w:rPr>
        <w:t>Kapcsolattartó neve és elérhetősége (telefon, e-mail):</w:t>
      </w:r>
      <w:r w:rsidR="00A75663">
        <w:rPr>
          <w:rFonts w:ascii="Times New Roman" w:hAnsi="Times New Roman"/>
          <w:sz w:val="20"/>
          <w:szCs w:val="20"/>
        </w:rPr>
        <w:t xml:space="preserve"> Czéhmester Eszter; telefon: 0630/143-74-03; e-mail: czehmester.eszter@ppk.elte.hu</w:t>
      </w:r>
    </w:p>
    <w:p w14:paraId="284897E5" w14:textId="0A0447C7" w:rsidR="001E5D10" w:rsidRDefault="001E5D10">
      <w:pPr>
        <w:rPr>
          <w:bCs/>
          <w:i/>
          <w:sz w:val="20"/>
          <w:highlight w:val="lightGray"/>
        </w:rPr>
      </w:pPr>
    </w:p>
    <w:p w14:paraId="3341EDBD" w14:textId="79FF884E" w:rsidR="00D02D1E" w:rsidRPr="00D02D1E" w:rsidRDefault="00D02D1E" w:rsidP="00D02D1E">
      <w:pPr>
        <w:jc w:val="both"/>
        <w:rPr>
          <w:b/>
          <w:sz w:val="20"/>
        </w:rPr>
      </w:pPr>
      <w:r>
        <w:rPr>
          <w:b/>
          <w:sz w:val="20"/>
        </w:rPr>
        <w:t>Adatfeldolgozó</w:t>
      </w:r>
      <w:r>
        <w:rPr>
          <w:rStyle w:val="Lbjegyzet-hivatkozs"/>
          <w:b/>
          <w:sz w:val="20"/>
        </w:rPr>
        <w:footnoteReference w:id="1"/>
      </w:r>
      <w:r>
        <w:rPr>
          <w:b/>
          <w:sz w:val="20"/>
        </w:rPr>
        <w:t>:</w:t>
      </w:r>
    </w:p>
    <w:p w14:paraId="034A27D5" w14:textId="0CE732F5" w:rsidR="00D02D1E" w:rsidRPr="00D02D1E" w:rsidRDefault="00D02D1E" w:rsidP="00D02D1E">
      <w:pPr>
        <w:jc w:val="both"/>
        <w:rPr>
          <w:bCs/>
          <w:i/>
          <w:iCs/>
          <w:sz w:val="20"/>
        </w:rPr>
      </w:pPr>
      <w:r w:rsidRPr="00D02D1E">
        <w:rPr>
          <w:bCs/>
          <w:i/>
          <w:iCs/>
          <w:sz w:val="20"/>
        </w:rPr>
        <w:t>A személyes adatok gyűjtéséhez és/vagy tárolásához az alábbi szoftvert vagy  platformot alkalmazzuk:</w:t>
      </w:r>
    </w:p>
    <w:p w14:paraId="4EE6C462" w14:textId="77777777" w:rsidR="00D02D1E" w:rsidRPr="00D02D1E" w:rsidRDefault="00D02D1E" w:rsidP="00D02D1E">
      <w:pPr>
        <w:pStyle w:val="docdata"/>
        <w:tabs>
          <w:tab w:val="left" w:pos="1985"/>
        </w:tabs>
        <w:spacing w:before="0" w:beforeAutospacing="0" w:after="0" w:afterAutospacing="0"/>
        <w:jc w:val="both"/>
      </w:pPr>
      <w:r w:rsidRPr="00D02D1E">
        <w:rPr>
          <w:color w:val="000000"/>
          <w:sz w:val="20"/>
          <w:szCs w:val="20"/>
        </w:rPr>
        <w:t>Qualtrics: a regisztráció/kutatás lebonyolítása körében</w:t>
      </w:r>
    </w:p>
    <w:p w14:paraId="0608D1AD" w14:textId="77777777" w:rsidR="00D02D1E" w:rsidRPr="00D02D1E" w:rsidRDefault="00D02D1E" w:rsidP="00D02D1E">
      <w:pPr>
        <w:pStyle w:val="NormlWeb"/>
        <w:tabs>
          <w:tab w:val="left" w:pos="1985"/>
        </w:tabs>
        <w:spacing w:before="0" w:beforeAutospacing="0" w:after="0" w:afterAutospacing="0"/>
      </w:pPr>
      <w:r w:rsidRPr="00D02D1E">
        <w:rPr>
          <w:color w:val="000000"/>
          <w:sz w:val="20"/>
          <w:szCs w:val="20"/>
        </w:rPr>
        <w:t>címe:</w:t>
      </w:r>
      <w:r w:rsidRPr="00D02D1E">
        <w:rPr>
          <w:color w:val="000000"/>
          <w:sz w:val="20"/>
          <w:szCs w:val="20"/>
        </w:rPr>
        <w:tab/>
        <w:t>Qualtrics LLC</w:t>
      </w:r>
    </w:p>
    <w:p w14:paraId="1B609DCF" w14:textId="77777777" w:rsidR="00D02D1E" w:rsidRPr="00D02D1E" w:rsidRDefault="00D02D1E" w:rsidP="00D02D1E">
      <w:pPr>
        <w:pStyle w:val="NormlWeb"/>
        <w:tabs>
          <w:tab w:val="left" w:pos="1985"/>
        </w:tabs>
        <w:spacing w:before="0" w:beforeAutospacing="0" w:after="0" w:afterAutospacing="0"/>
      </w:pPr>
      <w:r w:rsidRPr="00D02D1E">
        <w:rPr>
          <w:color w:val="000000"/>
          <w:sz w:val="20"/>
          <w:szCs w:val="20"/>
        </w:rPr>
        <w:tab/>
        <w:t>333 W. River Park Drive</w:t>
      </w:r>
    </w:p>
    <w:p w14:paraId="6492DE5F" w14:textId="77777777" w:rsidR="00D02D1E" w:rsidRPr="00D02D1E" w:rsidRDefault="00D02D1E" w:rsidP="00D02D1E">
      <w:pPr>
        <w:pStyle w:val="NormlWeb"/>
        <w:tabs>
          <w:tab w:val="left" w:pos="1985"/>
        </w:tabs>
        <w:spacing w:before="0" w:beforeAutospacing="0" w:after="0" w:afterAutospacing="0"/>
      </w:pPr>
      <w:r w:rsidRPr="00D02D1E">
        <w:rPr>
          <w:color w:val="000000"/>
          <w:sz w:val="20"/>
          <w:szCs w:val="20"/>
        </w:rPr>
        <w:tab/>
        <w:t>Provo</w:t>
      </w:r>
    </w:p>
    <w:p w14:paraId="7169C9FC" w14:textId="77777777" w:rsidR="00D02D1E" w:rsidRPr="00D02D1E" w:rsidRDefault="00D02D1E" w:rsidP="00D02D1E">
      <w:pPr>
        <w:pStyle w:val="NormlWeb"/>
        <w:tabs>
          <w:tab w:val="left" w:pos="1985"/>
        </w:tabs>
        <w:spacing w:before="0" w:beforeAutospacing="0" w:after="0" w:afterAutospacing="0"/>
      </w:pPr>
      <w:r w:rsidRPr="00D02D1E">
        <w:rPr>
          <w:color w:val="000000"/>
          <w:sz w:val="20"/>
          <w:szCs w:val="20"/>
        </w:rPr>
        <w:tab/>
        <w:t>Utah</w:t>
      </w:r>
    </w:p>
    <w:p w14:paraId="0276C2D5" w14:textId="77777777" w:rsidR="00D02D1E" w:rsidRPr="00D02D1E" w:rsidRDefault="00D02D1E" w:rsidP="00D02D1E">
      <w:pPr>
        <w:pStyle w:val="NormlWeb"/>
        <w:tabs>
          <w:tab w:val="left" w:pos="1985"/>
        </w:tabs>
        <w:spacing w:before="0" w:beforeAutospacing="0" w:after="0" w:afterAutospacing="0"/>
      </w:pPr>
      <w:r w:rsidRPr="00D02D1E">
        <w:rPr>
          <w:color w:val="000000"/>
          <w:sz w:val="20"/>
          <w:szCs w:val="20"/>
        </w:rPr>
        <w:tab/>
        <w:t>84604</w:t>
      </w:r>
    </w:p>
    <w:p w14:paraId="211D29A4" w14:textId="77777777" w:rsidR="00D02D1E" w:rsidRPr="00D02D1E" w:rsidRDefault="00D02D1E" w:rsidP="00D02D1E">
      <w:pPr>
        <w:pStyle w:val="NormlWeb"/>
        <w:tabs>
          <w:tab w:val="left" w:pos="1985"/>
        </w:tabs>
        <w:spacing w:before="0" w:beforeAutospacing="0" w:after="240" w:afterAutospacing="0"/>
        <w:rPr>
          <w:color w:val="000000"/>
          <w:sz w:val="20"/>
          <w:szCs w:val="20"/>
        </w:rPr>
      </w:pPr>
      <w:r w:rsidRPr="00D02D1E">
        <w:rPr>
          <w:color w:val="000000"/>
          <w:sz w:val="20"/>
          <w:szCs w:val="20"/>
        </w:rPr>
        <w:tab/>
        <w:t>Amerikai Egyesült Államok</w:t>
      </w:r>
    </w:p>
    <w:p w14:paraId="61424A2C" w14:textId="77777777" w:rsidR="004E4BFF" w:rsidRDefault="004E4BFF">
      <w:pPr>
        <w:rPr>
          <w:bCs/>
          <w:i/>
          <w:sz w:val="20"/>
          <w:highlight w:val="lightGray"/>
        </w:rPr>
      </w:pPr>
    </w:p>
    <w:p w14:paraId="03F80609" w14:textId="113C01BF" w:rsidR="001E5D10" w:rsidRPr="000C7FB5" w:rsidRDefault="004D65A8">
      <w:pPr>
        <w:pStyle w:val="Listaszerbekezds"/>
        <w:numPr>
          <w:ilvl w:val="0"/>
          <w:numId w:val="1"/>
        </w:numPr>
        <w:jc w:val="both"/>
        <w:rPr>
          <w:rFonts w:ascii="Times New Roman" w:hAnsi="Times New Roman"/>
          <w:b/>
          <w:bCs/>
          <w:sz w:val="20"/>
          <w:szCs w:val="20"/>
        </w:rPr>
      </w:pPr>
      <w:r>
        <w:rPr>
          <w:rFonts w:ascii="Times New Roman" w:hAnsi="Times New Roman"/>
          <w:b/>
          <w:bCs/>
          <w:sz w:val="20"/>
          <w:szCs w:val="20"/>
        </w:rPr>
        <w:t>Bírálói regisztráció</w:t>
      </w:r>
    </w:p>
    <w:tbl>
      <w:tblPr>
        <w:tblStyle w:val="Rcsostblzat"/>
        <w:tblW w:w="0" w:type="auto"/>
        <w:tblInd w:w="108" w:type="dxa"/>
        <w:tblLook w:val="04A0" w:firstRow="1" w:lastRow="0" w:firstColumn="1" w:lastColumn="0" w:noHBand="0" w:noVBand="1"/>
      </w:tblPr>
      <w:tblGrid>
        <w:gridCol w:w="2725"/>
        <w:gridCol w:w="6229"/>
      </w:tblGrid>
      <w:tr w:rsidR="001E5D10" w14:paraId="161A1F08" w14:textId="77777777" w:rsidTr="3E7DC745">
        <w:trPr>
          <w:trHeight w:val="661"/>
        </w:trPr>
        <w:tc>
          <w:tcPr>
            <w:tcW w:w="2776" w:type="dxa"/>
          </w:tcPr>
          <w:p w14:paraId="37FD3128" w14:textId="77777777" w:rsidR="001E5D10" w:rsidRPr="00A75663" w:rsidRDefault="00B51B91">
            <w:pPr>
              <w:pStyle w:val="Listaszerbekezds"/>
              <w:ind w:left="0"/>
              <w:jc w:val="both"/>
              <w:rPr>
                <w:rFonts w:ascii="Times New Roman" w:hAnsi="Times New Roman"/>
                <w:b/>
                <w:bCs/>
                <w:sz w:val="20"/>
                <w:szCs w:val="20"/>
              </w:rPr>
            </w:pPr>
            <w:r w:rsidRPr="00A75663">
              <w:rPr>
                <w:rFonts w:ascii="Times New Roman" w:hAnsi="Times New Roman"/>
                <w:b/>
                <w:bCs/>
                <w:sz w:val="20"/>
                <w:szCs w:val="20"/>
              </w:rPr>
              <w:t>Kezelt adatok köre</w:t>
            </w:r>
          </w:p>
        </w:tc>
        <w:tc>
          <w:tcPr>
            <w:tcW w:w="6404" w:type="dxa"/>
          </w:tcPr>
          <w:p w14:paraId="075399C3" w14:textId="77777777" w:rsidR="001E5D10" w:rsidRDefault="00B51B91">
            <w:pPr>
              <w:numPr>
                <w:ilvl w:val="0"/>
                <w:numId w:val="2"/>
              </w:numPr>
              <w:ind w:left="284" w:hanging="284"/>
              <w:jc w:val="both"/>
              <w:rPr>
                <w:sz w:val="20"/>
              </w:rPr>
            </w:pPr>
            <w:r w:rsidRPr="000C7FB5">
              <w:rPr>
                <w:sz w:val="20"/>
              </w:rPr>
              <w:t>az Ön vezeték- és keresztneve;</w:t>
            </w:r>
          </w:p>
          <w:p w14:paraId="7382E568" w14:textId="7FA7C149" w:rsidR="00447785" w:rsidRDefault="00447785">
            <w:pPr>
              <w:numPr>
                <w:ilvl w:val="0"/>
                <w:numId w:val="2"/>
              </w:numPr>
              <w:ind w:left="284" w:hanging="284"/>
              <w:jc w:val="both"/>
              <w:rPr>
                <w:sz w:val="20"/>
              </w:rPr>
            </w:pPr>
            <w:r>
              <w:rPr>
                <w:sz w:val="20"/>
              </w:rPr>
              <w:t>Legmagasabb tudományos fokozata</w:t>
            </w:r>
          </w:p>
          <w:p w14:paraId="61AF0D1F" w14:textId="2D3E78E0" w:rsidR="00447785" w:rsidRDefault="00447785">
            <w:pPr>
              <w:numPr>
                <w:ilvl w:val="0"/>
                <w:numId w:val="2"/>
              </w:numPr>
              <w:ind w:left="284" w:hanging="284"/>
              <w:jc w:val="both"/>
              <w:rPr>
                <w:sz w:val="20"/>
              </w:rPr>
            </w:pPr>
            <w:r>
              <w:rPr>
                <w:sz w:val="20"/>
              </w:rPr>
              <w:t>Munkaköri beosztása</w:t>
            </w:r>
          </w:p>
          <w:p w14:paraId="3E351EC7" w14:textId="126C412F" w:rsidR="00447785" w:rsidRPr="00447785" w:rsidRDefault="00447785" w:rsidP="00447785">
            <w:pPr>
              <w:numPr>
                <w:ilvl w:val="0"/>
                <w:numId w:val="2"/>
              </w:numPr>
              <w:ind w:left="284" w:hanging="284"/>
              <w:jc w:val="both"/>
              <w:rPr>
                <w:sz w:val="20"/>
              </w:rPr>
            </w:pPr>
            <w:r>
              <w:rPr>
                <w:sz w:val="20"/>
              </w:rPr>
              <w:t>Intézménye, intézet/tanszék</w:t>
            </w:r>
          </w:p>
          <w:p w14:paraId="2D3E733B" w14:textId="77777777" w:rsidR="001E5D10" w:rsidRDefault="00B51B91">
            <w:pPr>
              <w:numPr>
                <w:ilvl w:val="0"/>
                <w:numId w:val="2"/>
              </w:numPr>
              <w:ind w:left="284" w:hanging="284"/>
              <w:jc w:val="both"/>
              <w:rPr>
                <w:sz w:val="20"/>
              </w:rPr>
            </w:pPr>
            <w:r w:rsidRPr="000C7FB5">
              <w:rPr>
                <w:sz w:val="20"/>
              </w:rPr>
              <w:t>az Ön elektronikus elérhetősége (kapcsolattartáshoz);</w:t>
            </w:r>
          </w:p>
          <w:p w14:paraId="5E0D716D" w14:textId="77777777" w:rsidR="00447785" w:rsidRDefault="00447785">
            <w:pPr>
              <w:numPr>
                <w:ilvl w:val="0"/>
                <w:numId w:val="2"/>
              </w:numPr>
              <w:ind w:left="284" w:hanging="284"/>
              <w:jc w:val="both"/>
              <w:rPr>
                <w:sz w:val="20"/>
              </w:rPr>
            </w:pPr>
            <w:r>
              <w:rPr>
                <w:sz w:val="20"/>
              </w:rPr>
              <w:t>vállalt publikációk száma</w:t>
            </w:r>
          </w:p>
          <w:p w14:paraId="44C55C22" w14:textId="48A76F8F" w:rsidR="00447785" w:rsidRDefault="00447785">
            <w:pPr>
              <w:numPr>
                <w:ilvl w:val="0"/>
                <w:numId w:val="2"/>
              </w:numPr>
              <w:ind w:left="284" w:hanging="284"/>
              <w:jc w:val="both"/>
              <w:rPr>
                <w:sz w:val="20"/>
              </w:rPr>
            </w:pPr>
            <w:r>
              <w:rPr>
                <w:sz w:val="20"/>
              </w:rPr>
              <w:t>választott alszekciók</w:t>
            </w:r>
          </w:p>
          <w:p w14:paraId="5A6F934B" w14:textId="17F0DA69" w:rsidR="00447785" w:rsidRDefault="00447785">
            <w:pPr>
              <w:numPr>
                <w:ilvl w:val="0"/>
                <w:numId w:val="2"/>
              </w:numPr>
              <w:ind w:left="284" w:hanging="284"/>
              <w:jc w:val="both"/>
              <w:rPr>
                <w:sz w:val="20"/>
              </w:rPr>
            </w:pPr>
            <w:r>
              <w:rPr>
                <w:sz w:val="20"/>
              </w:rPr>
              <w:t>választott szakterületek</w:t>
            </w:r>
          </w:p>
          <w:p w14:paraId="0DF7BD46" w14:textId="7424D2B6" w:rsidR="00447785" w:rsidRPr="000C7FB5" w:rsidRDefault="00447785">
            <w:pPr>
              <w:numPr>
                <w:ilvl w:val="0"/>
                <w:numId w:val="2"/>
              </w:numPr>
              <w:ind w:left="284" w:hanging="284"/>
              <w:jc w:val="both"/>
              <w:rPr>
                <w:sz w:val="20"/>
              </w:rPr>
            </w:pPr>
            <w:r>
              <w:rPr>
                <w:sz w:val="20"/>
              </w:rPr>
              <w:t>zsűrizést vállal-e</w:t>
            </w:r>
          </w:p>
          <w:p w14:paraId="4FD76A69" w14:textId="77777777" w:rsidR="001E5D10" w:rsidRDefault="001E5D10">
            <w:pPr>
              <w:ind w:left="284"/>
              <w:jc w:val="both"/>
              <w:rPr>
                <w:b/>
                <w:bCs/>
                <w:sz w:val="20"/>
              </w:rPr>
            </w:pPr>
          </w:p>
        </w:tc>
      </w:tr>
      <w:tr w:rsidR="001E5D10" w14:paraId="72260695" w14:textId="77777777" w:rsidTr="3E7DC745">
        <w:tc>
          <w:tcPr>
            <w:tcW w:w="2776" w:type="dxa"/>
          </w:tcPr>
          <w:p w14:paraId="03252411" w14:textId="057295FE" w:rsidR="001E5D10" w:rsidRDefault="00B51B91">
            <w:pPr>
              <w:pStyle w:val="Listaszerbekezds"/>
              <w:ind w:left="0"/>
              <w:jc w:val="both"/>
              <w:rPr>
                <w:rFonts w:ascii="Times New Roman" w:hAnsi="Times New Roman"/>
                <w:b/>
                <w:bCs/>
                <w:sz w:val="20"/>
                <w:szCs w:val="20"/>
              </w:rPr>
            </w:pPr>
            <w:r>
              <w:rPr>
                <w:rFonts w:ascii="Times New Roman" w:hAnsi="Times New Roman"/>
                <w:b/>
                <w:bCs/>
                <w:sz w:val="20"/>
                <w:szCs w:val="20"/>
              </w:rPr>
              <w:t>Adatkezelés célja</w:t>
            </w:r>
          </w:p>
        </w:tc>
        <w:tc>
          <w:tcPr>
            <w:tcW w:w="6404" w:type="dxa"/>
          </w:tcPr>
          <w:p w14:paraId="5EB69FE5" w14:textId="77777777" w:rsidR="001E5D10" w:rsidRDefault="009E1CDE" w:rsidP="004D65A8">
            <w:pPr>
              <w:jc w:val="both"/>
              <w:rPr>
                <w:bCs/>
                <w:sz w:val="20"/>
              </w:rPr>
            </w:pPr>
            <w:r>
              <w:rPr>
                <w:bCs/>
                <w:sz w:val="20"/>
              </w:rPr>
              <w:t>Az OTDK-ra benyújtott pályamunkák bíráltatási folyamatának menedzselése. A beérkezett pályamunkákhoz a megfelelő bíráló kiválasztása.</w:t>
            </w:r>
          </w:p>
          <w:p w14:paraId="42E54F75" w14:textId="7A1770D2" w:rsidR="00D02D1E" w:rsidRPr="00F20A9E" w:rsidRDefault="00D02D1E" w:rsidP="004D65A8">
            <w:pPr>
              <w:jc w:val="both"/>
              <w:rPr>
                <w:bCs/>
                <w:sz w:val="20"/>
              </w:rPr>
            </w:pPr>
            <w:r>
              <w:rPr>
                <w:bCs/>
                <w:sz w:val="20"/>
              </w:rPr>
              <w:t>A gyűjtött adatokat a következő (38.) OTDK szervezésének megkönnyítése céljából a PPAK szekció Szakmai Bizottságának a konferencia lezárultát követően átadjuk.</w:t>
            </w:r>
          </w:p>
        </w:tc>
      </w:tr>
      <w:tr w:rsidR="001E5D10" w14:paraId="2B6E3AEC" w14:textId="77777777" w:rsidTr="3E7DC745">
        <w:tc>
          <w:tcPr>
            <w:tcW w:w="2776" w:type="dxa"/>
          </w:tcPr>
          <w:p w14:paraId="37D7731F" w14:textId="77777777" w:rsidR="001E5D10" w:rsidRDefault="00B51B91">
            <w:pPr>
              <w:pStyle w:val="Listaszerbekezds"/>
              <w:ind w:left="0"/>
              <w:jc w:val="both"/>
              <w:rPr>
                <w:rFonts w:ascii="Times New Roman" w:hAnsi="Times New Roman"/>
                <w:b/>
                <w:bCs/>
                <w:sz w:val="20"/>
                <w:szCs w:val="20"/>
              </w:rPr>
            </w:pPr>
            <w:r>
              <w:rPr>
                <w:rFonts w:ascii="Times New Roman" w:hAnsi="Times New Roman"/>
                <w:b/>
                <w:bCs/>
                <w:sz w:val="20"/>
                <w:szCs w:val="20"/>
              </w:rPr>
              <w:t>Jogalap</w:t>
            </w:r>
          </w:p>
        </w:tc>
        <w:tc>
          <w:tcPr>
            <w:tcW w:w="6404" w:type="dxa"/>
          </w:tcPr>
          <w:p w14:paraId="7FC15242" w14:textId="77777777" w:rsidR="000D57DE" w:rsidRPr="00C738CD" w:rsidRDefault="000D57DE" w:rsidP="000D57DE">
            <w:pPr>
              <w:pStyle w:val="Listaszerbekezds"/>
              <w:ind w:left="0"/>
              <w:jc w:val="both"/>
              <w:rPr>
                <w:rFonts w:ascii="Times New Roman" w:hAnsi="Times New Roman"/>
                <w:bCs/>
                <w:sz w:val="20"/>
                <w:szCs w:val="20"/>
              </w:rPr>
            </w:pPr>
            <w:r w:rsidRPr="00AE745C">
              <w:rPr>
                <w:rFonts w:ascii="Times New Roman" w:hAnsi="Times New Roman"/>
                <w:b/>
                <w:bCs/>
                <w:sz w:val="20"/>
                <w:szCs w:val="20"/>
              </w:rPr>
              <w:t xml:space="preserve">GDPR 6. cikk (1) a) </w:t>
            </w:r>
            <w:r w:rsidRPr="00C738CD">
              <w:rPr>
                <w:rFonts w:ascii="Times New Roman" w:hAnsi="Times New Roman"/>
                <w:bCs/>
                <w:sz w:val="20"/>
                <w:szCs w:val="20"/>
              </w:rPr>
              <w:t>pontja – az érintett hozzájárulása.</w:t>
            </w:r>
          </w:p>
          <w:p w14:paraId="367DBA8B" w14:textId="77777777" w:rsidR="000D57DE" w:rsidRPr="00C738CD" w:rsidRDefault="000D57DE" w:rsidP="000D57DE">
            <w:pPr>
              <w:pStyle w:val="Listaszerbekezds"/>
              <w:ind w:left="0"/>
              <w:jc w:val="both"/>
              <w:rPr>
                <w:rFonts w:ascii="Times New Roman" w:hAnsi="Times New Roman"/>
                <w:bCs/>
                <w:sz w:val="20"/>
                <w:szCs w:val="20"/>
              </w:rPr>
            </w:pPr>
          </w:p>
          <w:p w14:paraId="31E7F9FD" w14:textId="32F86197" w:rsidR="001E5D10" w:rsidRDefault="000D57DE" w:rsidP="004E4BFF">
            <w:pPr>
              <w:pStyle w:val="Listaszerbekezds"/>
              <w:ind w:left="0"/>
              <w:jc w:val="both"/>
              <w:rPr>
                <w:b/>
                <w:bCs/>
                <w:sz w:val="20"/>
              </w:rPr>
            </w:pPr>
            <w:r w:rsidRPr="00C738CD">
              <w:rPr>
                <w:rFonts w:ascii="Times New Roman" w:hAnsi="Times New Roman"/>
                <w:bCs/>
                <w:sz w:val="20"/>
                <w:szCs w:val="20"/>
              </w:rPr>
              <w:t>Hozzájárulását bármikor visszavonhatja. A hozzájárulás visszavonása nem érinti a visszavonás előtt a hozzájárulás alapján végrehajtott adatkezelés jogszerűségét.</w:t>
            </w:r>
          </w:p>
        </w:tc>
      </w:tr>
      <w:tr w:rsidR="001E5D10" w:rsidRPr="008D7F96" w14:paraId="718F6D3A" w14:textId="77777777" w:rsidTr="3E7DC745">
        <w:trPr>
          <w:trHeight w:val="731"/>
        </w:trPr>
        <w:tc>
          <w:tcPr>
            <w:tcW w:w="2776" w:type="dxa"/>
          </w:tcPr>
          <w:p w14:paraId="3ED74BAC" w14:textId="77777777" w:rsidR="001E5D10" w:rsidRPr="008D7F96" w:rsidRDefault="00B51B91">
            <w:pPr>
              <w:pStyle w:val="Listaszerbekezds"/>
              <w:ind w:left="0"/>
              <w:jc w:val="both"/>
              <w:rPr>
                <w:rFonts w:ascii="Times New Roman" w:hAnsi="Times New Roman"/>
                <w:b/>
                <w:bCs/>
                <w:sz w:val="20"/>
                <w:szCs w:val="20"/>
              </w:rPr>
            </w:pPr>
            <w:r w:rsidRPr="008D7F96">
              <w:rPr>
                <w:rFonts w:ascii="Times New Roman" w:hAnsi="Times New Roman"/>
                <w:b/>
                <w:bCs/>
                <w:sz w:val="20"/>
                <w:szCs w:val="20"/>
              </w:rPr>
              <w:t>Időtartam</w:t>
            </w:r>
          </w:p>
        </w:tc>
        <w:tc>
          <w:tcPr>
            <w:tcW w:w="6404" w:type="dxa"/>
          </w:tcPr>
          <w:p w14:paraId="647EDA73" w14:textId="2041EC0A" w:rsidR="001E5D10" w:rsidRPr="008D7F96" w:rsidRDefault="001F2486" w:rsidP="009779AC">
            <w:pPr>
              <w:pStyle w:val="Listaszerbekezds"/>
              <w:ind w:left="0"/>
              <w:jc w:val="both"/>
              <w:rPr>
                <w:rFonts w:ascii="Times New Roman" w:hAnsi="Times New Roman"/>
                <w:sz w:val="20"/>
                <w:szCs w:val="20"/>
              </w:rPr>
            </w:pPr>
            <w:r w:rsidRPr="3E7DC745">
              <w:rPr>
                <w:rFonts w:ascii="Times New Roman" w:hAnsi="Times New Roman"/>
                <w:sz w:val="20"/>
                <w:szCs w:val="20"/>
              </w:rPr>
              <w:t xml:space="preserve"> </w:t>
            </w:r>
            <w:r w:rsidR="00B51B91" w:rsidRPr="3E7DC745">
              <w:rPr>
                <w:rFonts w:ascii="Times New Roman" w:hAnsi="Times New Roman"/>
                <w:sz w:val="20"/>
                <w:szCs w:val="20"/>
              </w:rPr>
              <w:t>Hozzájárulás</w:t>
            </w:r>
            <w:r w:rsidR="00013E99" w:rsidRPr="3E7DC745">
              <w:rPr>
                <w:rFonts w:ascii="Times New Roman" w:hAnsi="Times New Roman"/>
                <w:sz w:val="20"/>
                <w:szCs w:val="20"/>
              </w:rPr>
              <w:t>a</w:t>
            </w:r>
            <w:r w:rsidR="00B51B91" w:rsidRPr="3E7DC745">
              <w:rPr>
                <w:rFonts w:ascii="Times New Roman" w:hAnsi="Times New Roman"/>
                <w:sz w:val="20"/>
                <w:szCs w:val="20"/>
              </w:rPr>
              <w:t xml:space="preserve"> visszavonásáig, de legfeljebb a hozz</w:t>
            </w:r>
            <w:r w:rsidR="00D02D1E" w:rsidRPr="3E7DC745">
              <w:rPr>
                <w:rFonts w:ascii="Times New Roman" w:hAnsi="Times New Roman"/>
                <w:sz w:val="20"/>
                <w:szCs w:val="20"/>
              </w:rPr>
              <w:t xml:space="preserve">ájárulás megadásától számított </w:t>
            </w:r>
            <w:r w:rsidR="323DBAE3" w:rsidRPr="3E7DC745">
              <w:rPr>
                <w:rFonts w:ascii="Times New Roman" w:hAnsi="Times New Roman"/>
                <w:sz w:val="20"/>
                <w:szCs w:val="20"/>
              </w:rPr>
              <w:t>4</w:t>
            </w:r>
            <w:r w:rsidR="00B51B91" w:rsidRPr="3E7DC745">
              <w:rPr>
                <w:rFonts w:ascii="Times New Roman" w:hAnsi="Times New Roman"/>
                <w:sz w:val="20"/>
                <w:szCs w:val="20"/>
              </w:rPr>
              <w:t xml:space="preserve"> évig</w:t>
            </w:r>
            <w:r w:rsidR="009779AC" w:rsidRPr="3E7DC745">
              <w:rPr>
                <w:rFonts w:ascii="Times New Roman" w:hAnsi="Times New Roman"/>
                <w:sz w:val="20"/>
                <w:szCs w:val="20"/>
              </w:rPr>
              <w:t>.</w:t>
            </w:r>
          </w:p>
        </w:tc>
      </w:tr>
      <w:tr w:rsidR="00D02D1E" w:rsidRPr="008D7F96" w14:paraId="443062D4" w14:textId="77777777" w:rsidTr="3E7DC745">
        <w:trPr>
          <w:trHeight w:val="731"/>
        </w:trPr>
        <w:tc>
          <w:tcPr>
            <w:tcW w:w="2776" w:type="dxa"/>
          </w:tcPr>
          <w:p w14:paraId="01C2B339" w14:textId="282F1497" w:rsidR="00D02D1E" w:rsidRPr="008D7F96" w:rsidRDefault="00D02D1E">
            <w:pPr>
              <w:pStyle w:val="Listaszerbekezds"/>
              <w:ind w:left="0"/>
              <w:jc w:val="both"/>
              <w:rPr>
                <w:rFonts w:ascii="Times New Roman" w:hAnsi="Times New Roman"/>
                <w:b/>
                <w:bCs/>
                <w:sz w:val="20"/>
                <w:szCs w:val="20"/>
              </w:rPr>
            </w:pPr>
            <w:r w:rsidRPr="00D02D1E">
              <w:rPr>
                <w:rFonts w:ascii="Times New Roman" w:hAnsi="Times New Roman"/>
                <w:b/>
                <w:bCs/>
                <w:sz w:val="20"/>
                <w:szCs w:val="20"/>
              </w:rPr>
              <w:t>Adattovábbítás esetén az adatok címzettjei , illetve a címzettek kategóriái:</w:t>
            </w:r>
          </w:p>
        </w:tc>
        <w:tc>
          <w:tcPr>
            <w:tcW w:w="6404" w:type="dxa"/>
          </w:tcPr>
          <w:p w14:paraId="256238F9" w14:textId="7AE8D2FD" w:rsidR="00D02D1E" w:rsidRPr="008D7F96" w:rsidRDefault="00D02D1E" w:rsidP="009779AC">
            <w:pPr>
              <w:pStyle w:val="Listaszerbekezds"/>
              <w:ind w:left="0"/>
              <w:jc w:val="both"/>
              <w:rPr>
                <w:rFonts w:ascii="Times New Roman" w:hAnsi="Times New Roman"/>
                <w:sz w:val="20"/>
                <w:szCs w:val="20"/>
              </w:rPr>
            </w:pPr>
            <w:r>
              <w:rPr>
                <w:rFonts w:ascii="Times New Roman" w:hAnsi="Times New Roman"/>
                <w:sz w:val="20"/>
                <w:szCs w:val="20"/>
              </w:rPr>
              <w:t xml:space="preserve">OTDT </w:t>
            </w:r>
            <w:r w:rsidRPr="00D02D1E">
              <w:rPr>
                <w:rFonts w:ascii="Times New Roman" w:hAnsi="Times New Roman"/>
                <w:sz w:val="20"/>
                <w:szCs w:val="20"/>
              </w:rPr>
              <w:t>Pedagógiai, Pszichológiai, Andragógiai és Könyvtártudományi​ Szakmai Bizottság</w:t>
            </w:r>
            <w:r>
              <w:rPr>
                <w:rFonts w:ascii="Times New Roman" w:hAnsi="Times New Roman"/>
                <w:sz w:val="20"/>
                <w:szCs w:val="20"/>
              </w:rPr>
              <w:t>a</w:t>
            </w:r>
          </w:p>
        </w:tc>
      </w:tr>
      <w:tr w:rsidR="001E5D10" w:rsidRPr="008D7F96" w14:paraId="64CC5779" w14:textId="389C35D2" w:rsidTr="3E7DC745">
        <w:tc>
          <w:tcPr>
            <w:tcW w:w="2776" w:type="dxa"/>
          </w:tcPr>
          <w:p w14:paraId="265E4927" w14:textId="3710A9C3" w:rsidR="001E5D10" w:rsidRPr="008D7F96" w:rsidRDefault="00B51B91">
            <w:pPr>
              <w:pStyle w:val="Listaszerbekezds"/>
              <w:ind w:left="0"/>
              <w:jc w:val="both"/>
              <w:rPr>
                <w:rFonts w:ascii="Times New Roman" w:hAnsi="Times New Roman"/>
                <w:b/>
                <w:bCs/>
                <w:sz w:val="20"/>
                <w:szCs w:val="20"/>
              </w:rPr>
            </w:pPr>
            <w:r w:rsidRPr="008D7F96">
              <w:rPr>
                <w:rFonts w:ascii="Times New Roman" w:hAnsi="Times New Roman"/>
                <w:b/>
                <w:bCs/>
                <w:sz w:val="20"/>
                <w:szCs w:val="20"/>
              </w:rPr>
              <w:lastRenderedPageBreak/>
              <w:t>Adatok forrása</w:t>
            </w:r>
          </w:p>
        </w:tc>
        <w:tc>
          <w:tcPr>
            <w:tcW w:w="6404" w:type="dxa"/>
          </w:tcPr>
          <w:p w14:paraId="0A29130C" w14:textId="49EB451F" w:rsidR="001E5D10" w:rsidRPr="008D7F96" w:rsidRDefault="00B51B91">
            <w:pPr>
              <w:pStyle w:val="Listaszerbekezds"/>
              <w:ind w:left="0"/>
              <w:jc w:val="both"/>
              <w:rPr>
                <w:rFonts w:ascii="Times New Roman" w:hAnsi="Times New Roman"/>
                <w:sz w:val="20"/>
                <w:szCs w:val="20"/>
              </w:rPr>
            </w:pPr>
            <w:r w:rsidRPr="008D7F96">
              <w:rPr>
                <w:rFonts w:ascii="Times New Roman" w:hAnsi="Times New Roman"/>
                <w:sz w:val="20"/>
                <w:szCs w:val="20"/>
              </w:rPr>
              <w:t>Az Ön adatszolgáltatása</w:t>
            </w:r>
            <w:r w:rsidR="009779AC">
              <w:rPr>
                <w:rFonts w:ascii="Times New Roman" w:hAnsi="Times New Roman"/>
                <w:sz w:val="20"/>
                <w:szCs w:val="20"/>
              </w:rPr>
              <w:t>.</w:t>
            </w:r>
          </w:p>
        </w:tc>
      </w:tr>
    </w:tbl>
    <w:p w14:paraId="5762BFA9" w14:textId="2452DB59" w:rsidR="00222D1A" w:rsidRDefault="00222D1A" w:rsidP="004E4BFF">
      <w:pPr>
        <w:rPr>
          <w:b/>
          <w:bCs/>
          <w:sz w:val="20"/>
        </w:rPr>
      </w:pPr>
    </w:p>
    <w:p w14:paraId="05DC3FE9" w14:textId="2D4E517E" w:rsidR="001E5D10" w:rsidRDefault="001E5D10">
      <w:pPr>
        <w:rPr>
          <w:bCs/>
          <w:i/>
          <w:sz w:val="20"/>
        </w:rPr>
      </w:pPr>
    </w:p>
    <w:p w14:paraId="6C6FF5AF" w14:textId="77777777" w:rsidR="001E5D10" w:rsidRDefault="001E5D10">
      <w:pPr>
        <w:jc w:val="both"/>
        <w:rPr>
          <w:sz w:val="20"/>
        </w:rPr>
      </w:pPr>
    </w:p>
    <w:p w14:paraId="1E313649" w14:textId="77777777" w:rsidR="001E5D10" w:rsidRDefault="00B51B91">
      <w:pPr>
        <w:jc w:val="both"/>
        <w:rPr>
          <w:b/>
          <w:bCs/>
          <w:sz w:val="20"/>
          <w:u w:val="single"/>
        </w:rPr>
      </w:pPr>
      <w:r>
        <w:rPr>
          <w:b/>
          <w:bCs/>
          <w:sz w:val="20"/>
          <w:u w:val="single"/>
        </w:rPr>
        <w:t>Az Önt megillető jogosultságok (részletes kifejtését a jelen tájékoztató melléklete tartalmazza):</w:t>
      </w:r>
    </w:p>
    <w:p w14:paraId="60FC54BA" w14:textId="77777777" w:rsidR="001E5D10" w:rsidRDefault="00B51B91">
      <w:pPr>
        <w:numPr>
          <w:ilvl w:val="0"/>
          <w:numId w:val="5"/>
        </w:numPr>
        <w:ind w:left="284" w:hanging="284"/>
        <w:jc w:val="both"/>
        <w:rPr>
          <w:sz w:val="20"/>
        </w:rPr>
      </w:pPr>
      <w:r>
        <w:rPr>
          <w:b/>
          <w:sz w:val="20"/>
        </w:rPr>
        <w:t>az átlátható tájékoztatáshoz való jog</w:t>
      </w:r>
      <w:r>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4B4B44FA" w14:textId="77777777" w:rsidR="001E5D10" w:rsidRDefault="00B51B91">
      <w:pPr>
        <w:numPr>
          <w:ilvl w:val="0"/>
          <w:numId w:val="5"/>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21A209C2" w14:textId="77777777" w:rsidR="001E5D10" w:rsidRDefault="00B51B91">
      <w:pPr>
        <w:numPr>
          <w:ilvl w:val="0"/>
          <w:numId w:val="5"/>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605D1045" w14:textId="77777777" w:rsidR="001E5D10" w:rsidRDefault="00B51B91">
      <w:pPr>
        <w:numPr>
          <w:ilvl w:val="0"/>
          <w:numId w:val="5"/>
        </w:numPr>
        <w:ind w:left="284" w:hanging="284"/>
        <w:jc w:val="both"/>
        <w:rPr>
          <w:sz w:val="20"/>
        </w:rPr>
      </w:pPr>
      <w:r>
        <w:rPr>
          <w:b/>
          <w:sz w:val="20"/>
        </w:rPr>
        <w:t>személyes adatainak törléséhez való jog</w:t>
      </w:r>
      <w:r>
        <w:rPr>
          <w:sz w:val="20"/>
        </w:rPr>
        <w:t xml:space="preserve"> – Ön kérheti, hogy személyes adatait az adatkezelő törölje;</w:t>
      </w:r>
    </w:p>
    <w:p w14:paraId="6D461B21" w14:textId="77777777" w:rsidR="001E5D10" w:rsidRDefault="00B51B91">
      <w:pPr>
        <w:numPr>
          <w:ilvl w:val="0"/>
          <w:numId w:val="5"/>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358BA8B1" w14:textId="77777777" w:rsidR="001E5D10" w:rsidRDefault="00B51B91">
      <w:pPr>
        <w:numPr>
          <w:ilvl w:val="0"/>
          <w:numId w:val="5"/>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49D350C3" w14:textId="77777777" w:rsidR="001E5D10" w:rsidRDefault="00B51B91">
      <w:pPr>
        <w:numPr>
          <w:ilvl w:val="0"/>
          <w:numId w:val="5"/>
        </w:numPr>
        <w:ind w:left="284" w:hanging="284"/>
        <w:jc w:val="both"/>
        <w:rPr>
          <w:b/>
          <w:sz w:val="20"/>
        </w:rPr>
      </w:pPr>
      <w:bookmarkStart w:id="1" w:name="_Hlk42600310"/>
      <w:r>
        <w:rPr>
          <w:b/>
          <w:sz w:val="20"/>
        </w:rPr>
        <w:t>adathordozhatósághoz való jog</w:t>
      </w:r>
      <w:r>
        <w:rPr>
          <w:sz w:val="20"/>
        </w:rPr>
        <w:t xml:space="preserve"> </w:t>
      </w:r>
      <w:r>
        <w:rPr>
          <w:b/>
          <w:sz w:val="20"/>
        </w:rPr>
        <w:t xml:space="preserve">– </w:t>
      </w:r>
      <w:bookmarkStart w:id="2"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2"/>
      <w:r>
        <w:rPr>
          <w:sz w:val="20"/>
        </w:rPr>
        <w:t>;</w:t>
      </w:r>
    </w:p>
    <w:p w14:paraId="4ACE2719" w14:textId="77777777" w:rsidR="001E5D10" w:rsidRDefault="00B51B91">
      <w:pPr>
        <w:numPr>
          <w:ilvl w:val="0"/>
          <w:numId w:val="5"/>
        </w:numPr>
        <w:ind w:left="284" w:hanging="284"/>
        <w:jc w:val="both"/>
        <w:rPr>
          <w:b/>
          <w:sz w:val="20"/>
        </w:rPr>
      </w:pPr>
      <w:bookmarkStart w:id="3" w:name="_Hlk42601017"/>
      <w:bookmarkEnd w:id="1"/>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az adatkezelés közérdekű vagy az adatkezelőre ruházott közhatalmi jogosítvány gyakorlásának keretében végzett feladat végrehajtásához szükséges</w:t>
      </w:r>
      <w:bookmarkEnd w:id="3"/>
      <w:r>
        <w:rPr>
          <w:sz w:val="20"/>
        </w:rPr>
        <w:t>;</w:t>
      </w:r>
      <w:r>
        <w:rPr>
          <w:b/>
          <w:sz w:val="20"/>
        </w:rPr>
        <w:t xml:space="preserve"> </w:t>
      </w:r>
    </w:p>
    <w:p w14:paraId="61BED740" w14:textId="77777777" w:rsidR="001E5D10" w:rsidRDefault="00B51B91">
      <w:pPr>
        <w:numPr>
          <w:ilvl w:val="0"/>
          <w:numId w:val="5"/>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Ha a jelen tájékoztató nem tartalmaz információkat az automatizált döntéshozatalról, akkor az ez elleni fellépéshez való jog értelemszerűen nem releváns</w:t>
      </w:r>
      <w:r>
        <w:rPr>
          <w:sz w:val="20"/>
        </w:rPr>
        <w:t>.</w:t>
      </w:r>
    </w:p>
    <w:p w14:paraId="7154A50A" w14:textId="77777777" w:rsidR="001E5D10" w:rsidRDefault="00B51B91">
      <w:pPr>
        <w:numPr>
          <w:ilvl w:val="0"/>
          <w:numId w:val="5"/>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574C54F6" w14:textId="77777777" w:rsidR="001E5D10" w:rsidRDefault="001E5D10">
      <w:pPr>
        <w:jc w:val="both"/>
        <w:rPr>
          <w:b/>
          <w:color w:val="000000"/>
          <w:sz w:val="20"/>
          <w:u w:val="single"/>
        </w:rPr>
      </w:pPr>
    </w:p>
    <w:p w14:paraId="2664439A" w14:textId="77777777" w:rsidR="001E5D10" w:rsidRDefault="00B51B91">
      <w:pPr>
        <w:jc w:val="both"/>
        <w:rPr>
          <w:b/>
          <w:color w:val="000000"/>
          <w:sz w:val="20"/>
          <w:u w:val="single"/>
        </w:rPr>
      </w:pPr>
      <w:r>
        <w:rPr>
          <w:b/>
          <w:color w:val="000000"/>
          <w:sz w:val="20"/>
          <w:u w:val="single"/>
        </w:rPr>
        <w:t>Hová fordulhat, ha jogorvoslattal szeretne élni, vagy ha kérdése van?</w:t>
      </w:r>
    </w:p>
    <w:p w14:paraId="6F822370" w14:textId="77777777" w:rsidR="001E5D10" w:rsidRDefault="00B51B91">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6E967E3D" w14:textId="034CACF8" w:rsidR="001E5D10" w:rsidRDefault="00B51B91">
      <w:pPr>
        <w:ind w:left="284"/>
        <w:jc w:val="both"/>
        <w:rPr>
          <w:sz w:val="20"/>
        </w:rPr>
      </w:pPr>
      <w:r>
        <w:rPr>
          <w:sz w:val="20"/>
        </w:rPr>
        <w:t>Adatvédelmi Iroda</w:t>
      </w:r>
    </w:p>
    <w:p w14:paraId="1E75E26C" w14:textId="77777777" w:rsidR="001E5D10" w:rsidRDefault="00B51B91">
      <w:pPr>
        <w:ind w:left="284"/>
        <w:jc w:val="both"/>
        <w:rPr>
          <w:sz w:val="20"/>
        </w:rPr>
      </w:pPr>
      <w:r>
        <w:rPr>
          <w:sz w:val="20"/>
        </w:rPr>
        <w:t>1053 Budapest, Ferenciek tere 6. III. emelet</w:t>
      </w:r>
    </w:p>
    <w:p w14:paraId="2B7C113E" w14:textId="77777777" w:rsidR="001E5D10" w:rsidRDefault="00B51B91">
      <w:pPr>
        <w:ind w:left="284"/>
        <w:jc w:val="both"/>
        <w:rPr>
          <w:sz w:val="20"/>
        </w:rPr>
      </w:pPr>
      <w:r>
        <w:rPr>
          <w:sz w:val="20"/>
        </w:rPr>
        <w:t>Tel.:  +36-1-411-6500 / 2855</w:t>
      </w:r>
    </w:p>
    <w:p w14:paraId="51AE405A" w14:textId="50951983" w:rsidR="001E5D10" w:rsidRDefault="00B51B91">
      <w:pPr>
        <w:ind w:left="284"/>
        <w:jc w:val="both"/>
        <w:rPr>
          <w:sz w:val="20"/>
        </w:rPr>
      </w:pPr>
      <w:r>
        <w:rPr>
          <w:sz w:val="20"/>
        </w:rPr>
        <w:t>Email: ada</w:t>
      </w:r>
      <w:r w:rsidR="0023332B">
        <w:rPr>
          <w:sz w:val="20"/>
        </w:rPr>
        <w:t>tvedelem@</w:t>
      </w:r>
      <w:r>
        <w:rPr>
          <w:sz w:val="20"/>
        </w:rPr>
        <w:t>elte.hu</w:t>
      </w:r>
    </w:p>
    <w:p w14:paraId="24E7ABD1" w14:textId="77777777" w:rsidR="001E5D10" w:rsidRDefault="001E5D10">
      <w:pPr>
        <w:jc w:val="both"/>
        <w:rPr>
          <w:sz w:val="20"/>
          <w:u w:val="single"/>
        </w:rPr>
      </w:pPr>
    </w:p>
    <w:p w14:paraId="66B732B6" w14:textId="77777777" w:rsidR="001E5D10" w:rsidRDefault="00B51B91">
      <w:pPr>
        <w:jc w:val="both"/>
        <w:rPr>
          <w:sz w:val="20"/>
          <w:u w:val="single"/>
        </w:rPr>
      </w:pPr>
      <w:r>
        <w:rPr>
          <w:sz w:val="20"/>
          <w:u w:val="single"/>
        </w:rPr>
        <w:t>További jogorvoslati lehetőségek:</w:t>
      </w:r>
    </w:p>
    <w:p w14:paraId="1D215C64" w14:textId="77777777" w:rsidR="001E5D10" w:rsidRDefault="00B51B91">
      <w:pPr>
        <w:jc w:val="both"/>
        <w:rPr>
          <w:sz w:val="20"/>
        </w:rPr>
      </w:pPr>
      <w:r>
        <w:rPr>
          <w:sz w:val="20"/>
          <w:u w:val="single"/>
        </w:rPr>
        <w:t>A Nemzeti Adatvédelmi és Információszabadság Hatóság (NAIH)</w:t>
      </w:r>
    </w:p>
    <w:p w14:paraId="23E22DDD" w14:textId="77777777" w:rsidR="001E5D10" w:rsidRDefault="00B51B91">
      <w:pPr>
        <w:ind w:left="284"/>
        <w:jc w:val="both"/>
        <w:rPr>
          <w:sz w:val="20"/>
          <w:lang w:val="en-GB"/>
        </w:rPr>
      </w:pPr>
      <w:r>
        <w:rPr>
          <w:sz w:val="20"/>
          <w:lang w:val="en-GB"/>
        </w:rPr>
        <w:t>13</w:t>
      </w:r>
      <w:r>
        <w:rPr>
          <w:sz w:val="20"/>
        </w:rPr>
        <w:t>63</w:t>
      </w:r>
      <w:r>
        <w:rPr>
          <w:sz w:val="20"/>
          <w:lang w:val="en-GB"/>
        </w:rPr>
        <w:t xml:space="preserve"> Budapest, Pf. </w:t>
      </w:r>
      <w:r>
        <w:rPr>
          <w:sz w:val="20"/>
        </w:rPr>
        <w:t>9</w:t>
      </w:r>
      <w:r>
        <w:rPr>
          <w:sz w:val="20"/>
          <w:lang w:val="en-GB"/>
        </w:rPr>
        <w:t>.</w:t>
      </w:r>
    </w:p>
    <w:p w14:paraId="37064057" w14:textId="77777777" w:rsidR="001E5D10" w:rsidRDefault="00B51B91">
      <w:pPr>
        <w:ind w:left="284"/>
        <w:jc w:val="both"/>
        <w:rPr>
          <w:sz w:val="20"/>
        </w:rPr>
      </w:pPr>
      <w:r>
        <w:rPr>
          <w:sz w:val="20"/>
        </w:rPr>
        <w:t xml:space="preserve">Honlap: </w:t>
      </w:r>
      <w:hyperlink r:id="rId9" w:history="1">
        <w:r>
          <w:rPr>
            <w:rStyle w:val="Hiperhivatkozs"/>
            <w:sz w:val="20"/>
          </w:rPr>
          <w:t>www.naih.hu</w:t>
        </w:r>
      </w:hyperlink>
    </w:p>
    <w:p w14:paraId="05DF2745" w14:textId="77777777" w:rsidR="001E5D10" w:rsidRDefault="00B51B91">
      <w:pPr>
        <w:ind w:left="284"/>
        <w:jc w:val="both"/>
        <w:rPr>
          <w:sz w:val="20"/>
        </w:rPr>
      </w:pPr>
      <w:r>
        <w:rPr>
          <w:sz w:val="20"/>
        </w:rPr>
        <w:t>Tel.: +36-1-391-1400</w:t>
      </w:r>
    </w:p>
    <w:p w14:paraId="5CF2377D" w14:textId="77777777" w:rsidR="001E5D10" w:rsidRDefault="00B51B91">
      <w:pPr>
        <w:pStyle w:val="NormlWeb"/>
        <w:spacing w:before="0" w:beforeAutospacing="0" w:after="0" w:afterAutospacing="0"/>
        <w:jc w:val="both"/>
        <w:rPr>
          <w:color w:val="000000"/>
          <w:sz w:val="20"/>
          <w:szCs w:val="20"/>
        </w:rPr>
      </w:pPr>
      <w:r>
        <w:rPr>
          <w:sz w:val="20"/>
          <w:szCs w:val="20"/>
          <w:u w:val="single"/>
        </w:rPr>
        <w:t xml:space="preserve">Bíróság </w:t>
      </w:r>
    </w:p>
    <w:p w14:paraId="5347A3CE" w14:textId="77777777" w:rsidR="001E5D10" w:rsidRDefault="00B51B91">
      <w:pPr>
        <w:ind w:left="284"/>
        <w:jc w:val="both"/>
        <w:rPr>
          <w:sz w:val="20"/>
        </w:rPr>
      </w:pPr>
      <w:r>
        <w:rPr>
          <w:sz w:val="20"/>
        </w:rPr>
        <w:t xml:space="preserve">Magyarországon a pert - az érintett választása szerint - az érintett lakóhelye vagy tartózkodási helye szerinti törvényszék előtt is megindíthatja. </w:t>
      </w:r>
    </w:p>
    <w:p w14:paraId="7E63F72A" w14:textId="4B7E0A13" w:rsidR="001E5D10" w:rsidRDefault="001E5D10">
      <w:pPr>
        <w:ind w:left="567"/>
        <w:jc w:val="both"/>
        <w:rPr>
          <w:sz w:val="20"/>
        </w:rPr>
      </w:pPr>
    </w:p>
    <w:p w14:paraId="3D5560A8" w14:textId="77777777" w:rsidR="004E4BFF" w:rsidRDefault="004E4BFF">
      <w:pPr>
        <w:ind w:left="567"/>
        <w:jc w:val="both"/>
        <w:rPr>
          <w:sz w:val="20"/>
        </w:rPr>
      </w:pPr>
    </w:p>
    <w:p w14:paraId="5C0E0496" w14:textId="77777777" w:rsidR="001E5D10" w:rsidRDefault="00B51B91">
      <w:pPr>
        <w:pStyle w:val="NormlWeb"/>
        <w:spacing w:before="0" w:beforeAutospacing="0" w:after="0" w:afterAutospacing="0"/>
        <w:jc w:val="center"/>
        <w:rPr>
          <w:b/>
          <w:bCs/>
          <w:color w:val="000000"/>
          <w:sz w:val="20"/>
          <w:szCs w:val="20"/>
        </w:rPr>
      </w:pPr>
      <w:r>
        <w:rPr>
          <w:b/>
          <w:bCs/>
          <w:color w:val="000000"/>
          <w:sz w:val="20"/>
          <w:szCs w:val="20"/>
        </w:rPr>
        <w:t>MELLÉKLET</w:t>
      </w:r>
    </w:p>
    <w:p w14:paraId="20D2D1ED" w14:textId="77777777" w:rsidR="001E5D10" w:rsidRDefault="00B51B91">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52CC25FF" w14:textId="77777777" w:rsidR="001E5D10" w:rsidRDefault="001E5D10">
      <w:pPr>
        <w:jc w:val="both"/>
        <w:rPr>
          <w:b/>
          <w:bCs/>
          <w:sz w:val="20"/>
        </w:rPr>
      </w:pPr>
    </w:p>
    <w:p w14:paraId="7CDA8A9D" w14:textId="77777777" w:rsidR="001E5D10" w:rsidRDefault="00B51B91">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w:t>
      </w:r>
      <w:r>
        <w:rPr>
          <w:rFonts w:ascii="Times New Roman" w:hAnsi="Times New Roman" w:cs="Times New Roman"/>
          <w:sz w:val="20"/>
          <w:szCs w:val="20"/>
        </w:rPr>
        <w:lastRenderedPageBreak/>
        <w:t>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2"/>
      </w:r>
      <w:r>
        <w:rPr>
          <w:rFonts w:ascii="Times New Roman" w:hAnsi="Times New Roman" w:cs="Times New Roman"/>
          <w:sz w:val="20"/>
          <w:szCs w:val="20"/>
        </w:rPr>
        <w:t xml:space="preserve">. </w:t>
      </w:r>
    </w:p>
    <w:p w14:paraId="388FBE53" w14:textId="77777777" w:rsidR="001E5D10" w:rsidRDefault="00B51B91">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7D854BB8" w14:textId="77777777" w:rsidR="001E5D10" w:rsidRDefault="00B51B91">
      <w:pPr>
        <w:pStyle w:val="NormlWeb"/>
        <w:spacing w:after="0"/>
        <w:rPr>
          <w:b/>
          <w:color w:val="000000"/>
          <w:sz w:val="20"/>
          <w:szCs w:val="20"/>
        </w:rPr>
      </w:pPr>
      <w:r>
        <w:rPr>
          <w:b/>
          <w:color w:val="000000"/>
          <w:sz w:val="20"/>
          <w:szCs w:val="20"/>
        </w:rPr>
        <w:t>Az alábbiakban az érintettet illető egyes jogok kifejtése olvasható.</w:t>
      </w:r>
    </w:p>
    <w:p w14:paraId="7DB6BC50" w14:textId="77777777" w:rsidR="001E5D10" w:rsidRDefault="00B51B91">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(GDPR 12-14. cikk)</w:t>
      </w:r>
    </w:p>
    <w:p w14:paraId="66634D9C" w14:textId="6F7B5598" w:rsidR="001E5D10" w:rsidRDefault="00B51B91">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jelen dokumentummal tesz eleget az adatkezelőre, az adatvédelmi tisztviselőre, az adatkezelés céljára és jogalapjára, időtartamára, az érintetti jogokra, és a jogorvoslatra, továbbá</w:t>
      </w:r>
      <w:r w:rsidR="00464F24">
        <w:rPr>
          <w:rFonts w:ascii="Times New Roman" w:hAnsi="Times New Roman" w:cs="Times New Roman"/>
          <w:sz w:val="20"/>
          <w:szCs w:val="20"/>
        </w:rPr>
        <w:t>,</w:t>
      </w:r>
      <w:r>
        <w:rPr>
          <w:rFonts w:ascii="Times New Roman" w:hAnsi="Times New Roman" w:cs="Times New Roman"/>
          <w:sz w:val="20"/>
          <w:szCs w:val="20"/>
        </w:rPr>
        <w:t xml:space="preserve"> ha az adatok nem az érintettől származnak, akkor az adatok forrására vonatkozó tájékoztatási kötelezettségének. </w:t>
      </w:r>
    </w:p>
    <w:p w14:paraId="0AA53FF4" w14:textId="77777777" w:rsidR="001E5D10" w:rsidRDefault="00B51B91">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009324CC" w14:textId="77777777" w:rsidR="001E5D10" w:rsidRDefault="001E5D10">
      <w:pPr>
        <w:autoSpaceDE w:val="0"/>
        <w:autoSpaceDN w:val="0"/>
        <w:adjustRightInd w:val="0"/>
        <w:rPr>
          <w:color w:val="000000"/>
          <w:sz w:val="20"/>
        </w:rPr>
      </w:pPr>
    </w:p>
    <w:p w14:paraId="27F75F95" w14:textId="77777777" w:rsidR="001E5D10" w:rsidRDefault="00B51B91">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(GDPR 15. cikk)</w:t>
      </w:r>
    </w:p>
    <w:p w14:paraId="581A96D1" w14:textId="77777777" w:rsidR="001E5D10" w:rsidRDefault="00B51B91">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kérelmezheti az adatkezelőtől a rá vonatkozó személyes adatokhoz való hozzáférést, beleértve az adatkezelés tárgyát képező személyes adatok másolatát. 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1E5D10" w14:paraId="058D07D6" w14:textId="77777777">
        <w:trPr>
          <w:tblCellSpacing w:w="0" w:type="dxa"/>
        </w:trPr>
        <w:tc>
          <w:tcPr>
            <w:tcW w:w="370" w:type="dxa"/>
          </w:tcPr>
          <w:p w14:paraId="0F18C468" w14:textId="77777777" w:rsidR="001E5D10" w:rsidRDefault="00B51B91">
            <w:pPr>
              <w:jc w:val="both"/>
              <w:rPr>
                <w:color w:val="000000"/>
                <w:sz w:val="20"/>
                <w:lang w:eastAsia="en-US"/>
              </w:rPr>
            </w:pPr>
            <w:r>
              <w:rPr>
                <w:color w:val="000000"/>
                <w:sz w:val="20"/>
                <w:lang w:eastAsia="en-US"/>
              </w:rPr>
              <w:t>a)</w:t>
            </w:r>
          </w:p>
        </w:tc>
        <w:tc>
          <w:tcPr>
            <w:tcW w:w="8872" w:type="dxa"/>
          </w:tcPr>
          <w:p w14:paraId="443377F0" w14:textId="77777777" w:rsidR="001E5D10" w:rsidRDefault="00B51B91">
            <w:pPr>
              <w:jc w:val="both"/>
              <w:rPr>
                <w:color w:val="000000"/>
                <w:sz w:val="20"/>
                <w:lang w:eastAsia="en-US"/>
              </w:rPr>
            </w:pPr>
            <w:r>
              <w:rPr>
                <w:color w:val="000000"/>
                <w:sz w:val="20"/>
                <w:lang w:eastAsia="en-US"/>
              </w:rPr>
              <w:t>az adatkezelés céljai;</w:t>
            </w:r>
          </w:p>
        </w:tc>
      </w:tr>
      <w:tr w:rsidR="001E5D10" w14:paraId="28676462" w14:textId="77777777">
        <w:trPr>
          <w:tblCellSpacing w:w="0" w:type="dxa"/>
        </w:trPr>
        <w:tc>
          <w:tcPr>
            <w:tcW w:w="370" w:type="dxa"/>
          </w:tcPr>
          <w:p w14:paraId="0E724176" w14:textId="77777777" w:rsidR="001E5D10" w:rsidRDefault="00B51B91">
            <w:pPr>
              <w:jc w:val="both"/>
              <w:rPr>
                <w:color w:val="000000"/>
                <w:sz w:val="20"/>
                <w:lang w:eastAsia="en-US"/>
              </w:rPr>
            </w:pPr>
            <w:r>
              <w:rPr>
                <w:color w:val="000000"/>
                <w:sz w:val="20"/>
                <w:lang w:eastAsia="en-US"/>
              </w:rPr>
              <w:t>b)</w:t>
            </w:r>
          </w:p>
        </w:tc>
        <w:tc>
          <w:tcPr>
            <w:tcW w:w="8872" w:type="dxa"/>
          </w:tcPr>
          <w:p w14:paraId="5045FF7E" w14:textId="77777777" w:rsidR="001E5D10" w:rsidRDefault="00B51B91">
            <w:pPr>
              <w:jc w:val="both"/>
              <w:rPr>
                <w:color w:val="000000"/>
                <w:sz w:val="20"/>
                <w:lang w:eastAsia="en-US"/>
              </w:rPr>
            </w:pPr>
            <w:r>
              <w:rPr>
                <w:color w:val="000000"/>
                <w:sz w:val="20"/>
                <w:lang w:eastAsia="en-US"/>
              </w:rPr>
              <w:t>az érintett személyes adatok kategóriái;</w:t>
            </w:r>
          </w:p>
        </w:tc>
      </w:tr>
      <w:tr w:rsidR="001E5D10" w14:paraId="3777DC48" w14:textId="77777777">
        <w:trPr>
          <w:tblCellSpacing w:w="0" w:type="dxa"/>
        </w:trPr>
        <w:tc>
          <w:tcPr>
            <w:tcW w:w="370" w:type="dxa"/>
          </w:tcPr>
          <w:p w14:paraId="2182D4C0" w14:textId="77777777" w:rsidR="001E5D10" w:rsidRDefault="00B51B91">
            <w:pPr>
              <w:jc w:val="both"/>
              <w:rPr>
                <w:color w:val="000000"/>
                <w:sz w:val="20"/>
                <w:lang w:eastAsia="en-US"/>
              </w:rPr>
            </w:pPr>
            <w:r>
              <w:rPr>
                <w:color w:val="000000"/>
                <w:sz w:val="20"/>
                <w:lang w:eastAsia="en-US"/>
              </w:rPr>
              <w:t>c)</w:t>
            </w:r>
          </w:p>
        </w:tc>
        <w:tc>
          <w:tcPr>
            <w:tcW w:w="8872" w:type="dxa"/>
          </w:tcPr>
          <w:p w14:paraId="332898BA" w14:textId="77777777" w:rsidR="001E5D10" w:rsidRDefault="00B51B91">
            <w:pPr>
              <w:jc w:val="both"/>
              <w:rPr>
                <w:color w:val="000000"/>
                <w:sz w:val="20"/>
                <w:lang w:eastAsia="en-US"/>
              </w:rPr>
            </w:pPr>
            <w:r>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1E5D10" w14:paraId="6399A178" w14:textId="77777777">
        <w:trPr>
          <w:tblCellSpacing w:w="0" w:type="dxa"/>
        </w:trPr>
        <w:tc>
          <w:tcPr>
            <w:tcW w:w="370" w:type="dxa"/>
          </w:tcPr>
          <w:p w14:paraId="0C4A7F4A" w14:textId="77777777" w:rsidR="001E5D10" w:rsidRDefault="00B51B91">
            <w:pPr>
              <w:jc w:val="both"/>
              <w:rPr>
                <w:color w:val="000000"/>
                <w:sz w:val="20"/>
                <w:lang w:eastAsia="en-US"/>
              </w:rPr>
            </w:pPr>
            <w:r>
              <w:rPr>
                <w:color w:val="000000"/>
                <w:sz w:val="20"/>
                <w:lang w:eastAsia="en-US"/>
              </w:rPr>
              <w:t>d)</w:t>
            </w:r>
          </w:p>
        </w:tc>
        <w:tc>
          <w:tcPr>
            <w:tcW w:w="8872" w:type="dxa"/>
          </w:tcPr>
          <w:p w14:paraId="2101F827" w14:textId="77777777" w:rsidR="001E5D10" w:rsidRDefault="00B51B91">
            <w:pPr>
              <w:jc w:val="both"/>
              <w:rPr>
                <w:color w:val="000000"/>
                <w:sz w:val="20"/>
                <w:lang w:eastAsia="en-US"/>
              </w:rPr>
            </w:pPr>
            <w:r>
              <w:rPr>
                <w:color w:val="000000"/>
                <w:sz w:val="20"/>
                <w:lang w:eastAsia="en-US"/>
              </w:rPr>
              <w:t>adott esetben a személyes adatok tárolásának tervezett időtartama, vagy ha ez nem lehetséges, ezen időtartam meghatározásának szempontjai;</w:t>
            </w:r>
          </w:p>
        </w:tc>
      </w:tr>
      <w:tr w:rsidR="001E5D10" w14:paraId="0D603FF2" w14:textId="77777777">
        <w:trPr>
          <w:tblCellSpacing w:w="0" w:type="dxa"/>
        </w:trPr>
        <w:tc>
          <w:tcPr>
            <w:tcW w:w="370" w:type="dxa"/>
          </w:tcPr>
          <w:p w14:paraId="17D4665E" w14:textId="77777777" w:rsidR="001E5D10" w:rsidRDefault="00B51B91">
            <w:pPr>
              <w:jc w:val="both"/>
              <w:rPr>
                <w:color w:val="000000"/>
                <w:sz w:val="20"/>
                <w:lang w:eastAsia="en-US"/>
              </w:rPr>
            </w:pPr>
            <w:r>
              <w:rPr>
                <w:color w:val="000000"/>
                <w:sz w:val="20"/>
                <w:lang w:eastAsia="en-US"/>
              </w:rPr>
              <w:t>e)</w:t>
            </w:r>
          </w:p>
        </w:tc>
        <w:tc>
          <w:tcPr>
            <w:tcW w:w="8872" w:type="dxa"/>
          </w:tcPr>
          <w:p w14:paraId="4A67DB98" w14:textId="77777777" w:rsidR="001E5D10" w:rsidRDefault="00B51B91">
            <w:pPr>
              <w:jc w:val="both"/>
              <w:rPr>
                <w:color w:val="000000"/>
                <w:sz w:val="20"/>
                <w:lang w:eastAsia="en-US"/>
              </w:rPr>
            </w:pPr>
            <w:r>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1E5D10" w14:paraId="4A294EE1" w14:textId="77777777">
        <w:trPr>
          <w:tblCellSpacing w:w="0" w:type="dxa"/>
        </w:trPr>
        <w:tc>
          <w:tcPr>
            <w:tcW w:w="370" w:type="dxa"/>
          </w:tcPr>
          <w:p w14:paraId="4081E5B4" w14:textId="77777777" w:rsidR="001E5D10" w:rsidRDefault="00B51B91">
            <w:pPr>
              <w:jc w:val="both"/>
              <w:rPr>
                <w:color w:val="000000"/>
                <w:sz w:val="20"/>
                <w:lang w:eastAsia="en-US"/>
              </w:rPr>
            </w:pPr>
            <w:r>
              <w:rPr>
                <w:color w:val="000000"/>
                <w:sz w:val="20"/>
                <w:lang w:eastAsia="en-US"/>
              </w:rPr>
              <w:t>f)</w:t>
            </w:r>
          </w:p>
        </w:tc>
        <w:tc>
          <w:tcPr>
            <w:tcW w:w="8872" w:type="dxa"/>
          </w:tcPr>
          <w:p w14:paraId="52560C79" w14:textId="77777777" w:rsidR="001E5D10" w:rsidRDefault="00B51B91">
            <w:pPr>
              <w:jc w:val="both"/>
              <w:rPr>
                <w:color w:val="000000"/>
                <w:sz w:val="20"/>
                <w:lang w:eastAsia="en-US"/>
              </w:rPr>
            </w:pPr>
            <w:r>
              <w:rPr>
                <w:color w:val="000000"/>
                <w:sz w:val="20"/>
                <w:lang w:eastAsia="en-US"/>
              </w:rPr>
              <w:t>a valamely felügyeleti hatósághoz címzett panasz benyújtásának joga;</w:t>
            </w:r>
          </w:p>
        </w:tc>
      </w:tr>
      <w:tr w:rsidR="001E5D10" w14:paraId="7A3E0A74" w14:textId="77777777">
        <w:trPr>
          <w:tblCellSpacing w:w="0" w:type="dxa"/>
        </w:trPr>
        <w:tc>
          <w:tcPr>
            <w:tcW w:w="370" w:type="dxa"/>
          </w:tcPr>
          <w:p w14:paraId="2DC3EE2C" w14:textId="77777777" w:rsidR="001E5D10" w:rsidRDefault="00B51B91">
            <w:pPr>
              <w:jc w:val="both"/>
              <w:rPr>
                <w:color w:val="000000"/>
                <w:sz w:val="20"/>
                <w:lang w:eastAsia="en-US"/>
              </w:rPr>
            </w:pPr>
            <w:r>
              <w:rPr>
                <w:color w:val="000000"/>
                <w:sz w:val="20"/>
                <w:lang w:eastAsia="en-US"/>
              </w:rPr>
              <w:t>g)</w:t>
            </w:r>
          </w:p>
        </w:tc>
        <w:tc>
          <w:tcPr>
            <w:tcW w:w="8872" w:type="dxa"/>
          </w:tcPr>
          <w:p w14:paraId="5094DF0E" w14:textId="77777777" w:rsidR="001E5D10" w:rsidRDefault="00B51B91">
            <w:pPr>
              <w:jc w:val="both"/>
              <w:rPr>
                <w:color w:val="000000"/>
                <w:sz w:val="20"/>
                <w:lang w:eastAsia="en-US"/>
              </w:rPr>
            </w:pPr>
            <w:r>
              <w:rPr>
                <w:color w:val="000000"/>
                <w:sz w:val="20"/>
                <w:lang w:eastAsia="en-US"/>
              </w:rPr>
              <w:t>ha az adatokat nem az érintettől gyűjtötték, a forrásukra vonatkozó minden elérhető információ;</w:t>
            </w:r>
          </w:p>
        </w:tc>
      </w:tr>
      <w:tr w:rsidR="001E5D10" w14:paraId="778908C9" w14:textId="77777777">
        <w:trPr>
          <w:tblCellSpacing w:w="0" w:type="dxa"/>
        </w:trPr>
        <w:tc>
          <w:tcPr>
            <w:tcW w:w="370" w:type="dxa"/>
          </w:tcPr>
          <w:p w14:paraId="3923F356" w14:textId="77777777" w:rsidR="001E5D10" w:rsidRDefault="00B51B91">
            <w:pPr>
              <w:jc w:val="both"/>
              <w:rPr>
                <w:color w:val="000000"/>
                <w:sz w:val="20"/>
                <w:lang w:eastAsia="en-US"/>
              </w:rPr>
            </w:pPr>
            <w:r>
              <w:rPr>
                <w:color w:val="000000"/>
                <w:sz w:val="20"/>
                <w:lang w:eastAsia="en-US"/>
              </w:rPr>
              <w:t>h)</w:t>
            </w:r>
          </w:p>
        </w:tc>
        <w:tc>
          <w:tcPr>
            <w:tcW w:w="8872" w:type="dxa"/>
          </w:tcPr>
          <w:p w14:paraId="333AF300" w14:textId="77777777" w:rsidR="001E5D10" w:rsidRDefault="00B51B91">
            <w:pPr>
              <w:jc w:val="both"/>
              <w:rPr>
                <w:color w:val="000000"/>
                <w:sz w:val="20"/>
                <w:lang w:eastAsia="en-US"/>
              </w:rPr>
            </w:pPr>
            <w:r>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5F22F34A" w14:textId="77777777" w:rsidR="001E5D10" w:rsidRDefault="001E5D10">
      <w:pPr>
        <w:ind w:left="142"/>
        <w:jc w:val="both"/>
        <w:rPr>
          <w:sz w:val="20"/>
        </w:rPr>
      </w:pPr>
    </w:p>
    <w:p w14:paraId="5ADC49DA" w14:textId="77777777" w:rsidR="001E5D10" w:rsidRDefault="00B51B91">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500A2695" w14:textId="77777777" w:rsidR="001E5D10" w:rsidRDefault="00B51B91">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3076FBAB" w14:textId="77777777" w:rsidR="001E5D10" w:rsidRDefault="001E5D10">
      <w:pPr>
        <w:pStyle w:val="Default"/>
        <w:ind w:left="284"/>
        <w:jc w:val="both"/>
        <w:rPr>
          <w:rFonts w:ascii="Times New Roman" w:hAnsi="Times New Roman" w:cs="Times New Roman"/>
          <w:sz w:val="20"/>
          <w:szCs w:val="20"/>
        </w:rPr>
      </w:pPr>
    </w:p>
    <w:p w14:paraId="5FA1AB48" w14:textId="5A807217" w:rsidR="001E5D10" w:rsidRDefault="00B51B91">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törléshez való jog - „az elfeledtetéshez való jog” (GDPR 17. cikk)</w:t>
      </w:r>
    </w:p>
    <w:p w14:paraId="5834D307" w14:textId="77777777" w:rsidR="001E5D10" w:rsidRDefault="00B51B91">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7D90A6A1" w14:textId="77777777" w:rsidR="001E5D10" w:rsidRDefault="00B51B91">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31556EB1" w14:textId="77777777" w:rsidR="001E5D10" w:rsidRDefault="00B51B91">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35844E0C" w14:textId="77777777" w:rsidR="001E5D10" w:rsidRDefault="00B51B91">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tiltakozik az adatkezelés ellen;</w:t>
      </w:r>
    </w:p>
    <w:p w14:paraId="2FB302B8" w14:textId="77777777" w:rsidR="001E5D10" w:rsidRDefault="00B51B91">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017C16F4" w14:textId="77777777" w:rsidR="001E5D10" w:rsidRDefault="00B51B91">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10893468" w14:textId="77777777" w:rsidR="001E5D10" w:rsidRDefault="00B51B91">
      <w:pPr>
        <w:pStyle w:val="Default"/>
        <w:numPr>
          <w:ilvl w:val="3"/>
          <w:numId w:val="6"/>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w:t>
      </w:r>
    </w:p>
    <w:p w14:paraId="7AAC423C" w14:textId="77777777" w:rsidR="001E5D10" w:rsidRDefault="001E5D10">
      <w:pPr>
        <w:pStyle w:val="Default"/>
        <w:ind w:left="567"/>
        <w:jc w:val="both"/>
        <w:rPr>
          <w:rFonts w:ascii="Times New Roman" w:hAnsi="Times New Roman" w:cs="Times New Roman"/>
          <w:sz w:val="20"/>
          <w:szCs w:val="20"/>
        </w:rPr>
      </w:pPr>
    </w:p>
    <w:p w14:paraId="3D75F5F0" w14:textId="77777777" w:rsidR="001E5D10" w:rsidRDefault="00B51B91">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(GDPR 18. cikk)</w:t>
      </w:r>
    </w:p>
    <w:p w14:paraId="7168DD43" w14:textId="77777777" w:rsidR="001E5D10" w:rsidRDefault="00B51B91">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5EFD54D0" w14:textId="77777777" w:rsidR="001E5D10" w:rsidRDefault="00B51B91">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37ABAAF8" w14:textId="77777777" w:rsidR="001E5D10" w:rsidRDefault="00B51B91">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4FCACC27" w14:textId="77777777" w:rsidR="001E5D10" w:rsidRDefault="00B51B91">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3206C8C3" w14:textId="77777777" w:rsidR="001E5D10" w:rsidRDefault="00B51B91">
      <w:pPr>
        <w:pStyle w:val="Default"/>
        <w:numPr>
          <w:ilvl w:val="3"/>
          <w:numId w:val="7"/>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4950BD73" w14:textId="77777777" w:rsidR="001E5D10" w:rsidRDefault="001E5D10">
      <w:pPr>
        <w:rPr>
          <w:color w:val="000000"/>
          <w:sz w:val="20"/>
        </w:rPr>
      </w:pPr>
    </w:p>
    <w:p w14:paraId="3980D219" w14:textId="77777777" w:rsidR="001E5D10" w:rsidRDefault="00B51B91">
      <w:pPr>
        <w:pStyle w:val="Default"/>
        <w:numPr>
          <w:ilvl w:val="0"/>
          <w:numId w:val="6"/>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1E08E373" w14:textId="77777777" w:rsidR="001E5D10" w:rsidRDefault="00B51B91">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560A6880" w14:textId="77777777" w:rsidR="001E5D10" w:rsidRDefault="001E5D10">
      <w:pPr>
        <w:autoSpaceDE w:val="0"/>
        <w:autoSpaceDN w:val="0"/>
        <w:adjustRightInd w:val="0"/>
        <w:rPr>
          <w:rFonts w:eastAsia="Calibri"/>
          <w:sz w:val="20"/>
          <w:u w:val="single"/>
          <w:lang w:eastAsia="en-US"/>
        </w:rPr>
      </w:pPr>
    </w:p>
    <w:p w14:paraId="6857D967" w14:textId="77777777" w:rsidR="001E5D10" w:rsidRDefault="00B51B91">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Adathordozhatósághoz való jog (GDPR 20. cikk) </w:t>
      </w:r>
    </w:p>
    <w:p w14:paraId="0D3C3BA2" w14:textId="77777777" w:rsidR="001E5D10" w:rsidRDefault="00B51B91">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5AC868F4" w14:textId="77777777" w:rsidR="001E5D10" w:rsidRDefault="00B51B91">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556F2DD5" w14:textId="77777777" w:rsidR="001E5D10" w:rsidRDefault="00B51B91">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p>
    <w:p w14:paraId="253E3260" w14:textId="77777777" w:rsidR="001E5D10" w:rsidRDefault="001E5D10">
      <w:pPr>
        <w:pStyle w:val="Default"/>
        <w:ind w:left="360"/>
        <w:jc w:val="both"/>
        <w:rPr>
          <w:rFonts w:ascii="Times New Roman" w:hAnsi="Times New Roman" w:cs="Times New Roman"/>
          <w:sz w:val="20"/>
          <w:szCs w:val="20"/>
          <w:u w:val="single"/>
        </w:rPr>
      </w:pPr>
    </w:p>
    <w:p w14:paraId="5E1F593A" w14:textId="77777777" w:rsidR="001E5D10" w:rsidRDefault="00B51B91">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(GDPR 21. cikk) </w:t>
      </w:r>
    </w:p>
    <w:p w14:paraId="73AEE36E" w14:textId="77777777" w:rsidR="001E5D10" w:rsidRDefault="00B51B91">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3"/>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2035D0C1" w14:textId="77777777" w:rsidR="001E5D10" w:rsidRDefault="001E5D10">
      <w:pPr>
        <w:ind w:left="142"/>
        <w:jc w:val="both"/>
        <w:rPr>
          <w:sz w:val="20"/>
        </w:rPr>
      </w:pPr>
    </w:p>
    <w:p w14:paraId="4B963C8D" w14:textId="77777777" w:rsidR="001E5D10" w:rsidRDefault="00B51B91">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(GDPR 22. cikk)</w:t>
      </w:r>
    </w:p>
    <w:p w14:paraId="5D9DCF27" w14:textId="77777777" w:rsidR="001E5D10" w:rsidRDefault="00B51B91">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0A20F485" w14:textId="77777777" w:rsidR="001E5D10" w:rsidRDefault="00B51B91">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a következő esetekben:</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1E5D10" w14:paraId="3F161E9D" w14:textId="77777777">
        <w:trPr>
          <w:tblCellSpacing w:w="0" w:type="dxa"/>
        </w:trPr>
        <w:tc>
          <w:tcPr>
            <w:tcW w:w="369" w:type="dxa"/>
          </w:tcPr>
          <w:p w14:paraId="2D5154A1" w14:textId="77777777" w:rsidR="001E5D10" w:rsidRDefault="00B51B91">
            <w:pPr>
              <w:jc w:val="both"/>
              <w:rPr>
                <w:color w:val="000000"/>
                <w:sz w:val="20"/>
                <w:lang w:eastAsia="en-US"/>
              </w:rPr>
            </w:pPr>
            <w:r>
              <w:rPr>
                <w:color w:val="000000"/>
                <w:sz w:val="20"/>
                <w:lang w:eastAsia="en-US"/>
              </w:rPr>
              <w:t>a)</w:t>
            </w:r>
          </w:p>
        </w:tc>
        <w:tc>
          <w:tcPr>
            <w:tcW w:w="8872" w:type="dxa"/>
          </w:tcPr>
          <w:p w14:paraId="242874D0" w14:textId="77777777" w:rsidR="001E5D10" w:rsidRDefault="00B51B91">
            <w:pPr>
              <w:jc w:val="both"/>
              <w:rPr>
                <w:color w:val="000000"/>
                <w:sz w:val="20"/>
                <w:lang w:eastAsia="en-US"/>
              </w:rPr>
            </w:pPr>
            <w:r>
              <w:rPr>
                <w:color w:val="000000"/>
                <w:sz w:val="20"/>
                <w:lang w:eastAsia="en-US"/>
              </w:rPr>
              <w:t>az érintett és az adatkezelő közötti szerződés megkötése vagy teljesítése érdekében szükséges;</w:t>
            </w:r>
          </w:p>
        </w:tc>
      </w:tr>
      <w:tr w:rsidR="001E5D10" w14:paraId="7AEC6569" w14:textId="77777777">
        <w:trPr>
          <w:tblCellSpacing w:w="0" w:type="dxa"/>
        </w:trPr>
        <w:tc>
          <w:tcPr>
            <w:tcW w:w="369" w:type="dxa"/>
          </w:tcPr>
          <w:p w14:paraId="4EA138B6" w14:textId="77777777" w:rsidR="001E5D10" w:rsidRDefault="00B51B91">
            <w:pPr>
              <w:jc w:val="both"/>
              <w:rPr>
                <w:color w:val="000000"/>
                <w:sz w:val="20"/>
                <w:lang w:eastAsia="en-US"/>
              </w:rPr>
            </w:pPr>
            <w:r>
              <w:rPr>
                <w:color w:val="000000"/>
                <w:sz w:val="20"/>
                <w:lang w:eastAsia="en-US"/>
              </w:rPr>
              <w:t>b)</w:t>
            </w:r>
          </w:p>
        </w:tc>
        <w:tc>
          <w:tcPr>
            <w:tcW w:w="8872" w:type="dxa"/>
          </w:tcPr>
          <w:p w14:paraId="1A09897E" w14:textId="77777777" w:rsidR="001E5D10" w:rsidRDefault="00B51B91">
            <w:pPr>
              <w:jc w:val="both"/>
              <w:rPr>
                <w:color w:val="000000"/>
                <w:sz w:val="20"/>
                <w:lang w:eastAsia="en-US"/>
              </w:rPr>
            </w:pPr>
            <w:r>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1E5D10" w14:paraId="317A8CEF" w14:textId="77777777">
        <w:trPr>
          <w:tblCellSpacing w:w="0" w:type="dxa"/>
        </w:trPr>
        <w:tc>
          <w:tcPr>
            <w:tcW w:w="369" w:type="dxa"/>
          </w:tcPr>
          <w:p w14:paraId="59FB67A7" w14:textId="77777777" w:rsidR="001E5D10" w:rsidRDefault="00B51B91">
            <w:pPr>
              <w:jc w:val="both"/>
              <w:rPr>
                <w:color w:val="000000"/>
                <w:sz w:val="20"/>
                <w:lang w:eastAsia="en-US"/>
              </w:rPr>
            </w:pPr>
            <w:r>
              <w:rPr>
                <w:color w:val="000000"/>
                <w:sz w:val="20"/>
                <w:lang w:eastAsia="en-US"/>
              </w:rPr>
              <w:t>c)</w:t>
            </w:r>
          </w:p>
        </w:tc>
        <w:tc>
          <w:tcPr>
            <w:tcW w:w="8872" w:type="dxa"/>
          </w:tcPr>
          <w:p w14:paraId="1CC44AE9" w14:textId="77777777" w:rsidR="001E5D10" w:rsidRDefault="00B51B91">
            <w:pPr>
              <w:jc w:val="both"/>
              <w:rPr>
                <w:color w:val="000000"/>
                <w:sz w:val="20"/>
                <w:lang w:eastAsia="en-US"/>
              </w:rPr>
            </w:pPr>
            <w:r>
              <w:rPr>
                <w:color w:val="000000"/>
                <w:sz w:val="20"/>
                <w:lang w:eastAsia="en-US"/>
              </w:rPr>
              <w:t>az érintett kifejezett hozzájárulásán alapul.</w:t>
            </w:r>
          </w:p>
        </w:tc>
      </w:tr>
    </w:tbl>
    <w:p w14:paraId="457D80D2" w14:textId="77777777" w:rsidR="001E5D10" w:rsidRDefault="00B51B91">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7AC3C384" w14:textId="77777777" w:rsidR="001E5D10" w:rsidRDefault="001E5D10">
      <w:pPr>
        <w:pStyle w:val="NormlWeb"/>
        <w:spacing w:before="0" w:beforeAutospacing="0" w:after="0" w:afterAutospacing="0"/>
        <w:jc w:val="both"/>
        <w:rPr>
          <w:sz w:val="20"/>
          <w:szCs w:val="20"/>
        </w:rPr>
      </w:pPr>
    </w:p>
    <w:p w14:paraId="433086E1" w14:textId="77777777" w:rsidR="001E5D10" w:rsidRDefault="00B51B91">
      <w:pPr>
        <w:pStyle w:val="Default"/>
        <w:numPr>
          <w:ilvl w:val="0"/>
          <w:numId w:val="6"/>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37B33D2E" w14:textId="77777777" w:rsidR="001E5D10" w:rsidRDefault="001E5D10">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723EE693" w14:textId="77777777" w:rsidR="001E5D10" w:rsidRDefault="00B51B91">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(GDPR 38-39. cikk)</w:t>
      </w:r>
    </w:p>
    <w:p w14:paraId="72207F93" w14:textId="77777777" w:rsidR="001E5D10" w:rsidRDefault="00B51B91">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bek.). </w:t>
      </w:r>
    </w:p>
    <w:p w14:paraId="63CB1313" w14:textId="77777777" w:rsidR="001E5D10" w:rsidRDefault="00B51B91">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w:t>
      </w:r>
      <w:r>
        <w:rPr>
          <w:rFonts w:ascii="Times New Roman" w:hAnsi="Times New Roman" w:cs="Times New Roman"/>
          <w:sz w:val="20"/>
          <w:szCs w:val="20"/>
        </w:rPr>
        <w:lastRenderedPageBreak/>
        <w:t>okairól, valamint arról, hogy az érintett panaszt nyújthat be valamely felügyeleti hatóságnál, és élhet bírósági jogorvoslati jogával. (GDPR 12. cikk (4) bek.)</w:t>
      </w:r>
    </w:p>
    <w:p w14:paraId="6E5438FD" w14:textId="77777777" w:rsidR="00B51B91" w:rsidRPr="00A00D06" w:rsidRDefault="00B51B91" w:rsidP="00B51B91">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77. cikk, Infotv.</w:t>
      </w:r>
      <w:r w:rsidRPr="00A00D06">
        <w:rPr>
          <w:rStyle w:val="Lbjegyzet-hivatkozs"/>
          <w:sz w:val="20"/>
          <w:szCs w:val="20"/>
        </w:rPr>
        <w:footnoteReference w:id="4"/>
      </w:r>
      <w:r w:rsidRPr="00A00D06">
        <w:rPr>
          <w:sz w:val="20"/>
          <w:szCs w:val="20"/>
        </w:rPr>
        <w:t xml:space="preserve"> 51/A. (1) bekezdés, 52-54.§, 55.§ (1)-(2), 56-58. §,</w:t>
      </w:r>
      <w:r>
        <w:rPr>
          <w:sz w:val="20"/>
          <w:szCs w:val="20"/>
        </w:rPr>
        <w:t xml:space="preserve"> 60-61. §</w:t>
      </w:r>
      <w:r w:rsidRPr="00A00D06">
        <w:rPr>
          <w:sz w:val="20"/>
          <w:szCs w:val="20"/>
        </w:rPr>
        <w:t>)</w:t>
      </w:r>
    </w:p>
    <w:p w14:paraId="301B2531" w14:textId="77777777" w:rsidR="00B51B91" w:rsidRPr="00A00D06" w:rsidRDefault="00B51B91" w:rsidP="00B51B91">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1C6E9634" w14:textId="77777777" w:rsidR="00B51B91" w:rsidRPr="00A00D06" w:rsidRDefault="00B51B91" w:rsidP="00B51B91">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Infotv. 53. §-a tartalmazza.</w:t>
      </w:r>
    </w:p>
    <w:p w14:paraId="598514B8" w14:textId="77777777" w:rsidR="00B51B91" w:rsidRPr="00A00D06" w:rsidRDefault="00B51B91" w:rsidP="00B51B91">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a vizsgálat költségeit a Hatóság előlegezi és viseli. Az eljárás lefolytatására vonatkozó részletes szabályokat az Infotv. 54.§, 55. § (1)-(2) bekezdése, 56-58. §-ai tartalmazzák.</w:t>
      </w:r>
    </w:p>
    <w:p w14:paraId="6178A9CA" w14:textId="77777777" w:rsidR="00B51B91" w:rsidRPr="00A00D06" w:rsidRDefault="00B51B91" w:rsidP="00B51B91">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Infotv. 60-61. §-a alapján.</w:t>
      </w:r>
    </w:p>
    <w:p w14:paraId="3EB71685" w14:textId="77777777" w:rsidR="001E5D10" w:rsidRDefault="00B51B91">
      <w:pPr>
        <w:pStyle w:val="NormlWeb"/>
        <w:spacing w:before="0" w:beforeAutospacing="0" w:after="0" w:afterAutospacing="0"/>
        <w:jc w:val="both"/>
        <w:rPr>
          <w:sz w:val="20"/>
          <w:szCs w:val="20"/>
          <w:u w:val="single"/>
        </w:rPr>
      </w:pPr>
      <w:r>
        <w:rPr>
          <w:sz w:val="20"/>
          <w:szCs w:val="20"/>
        </w:rPr>
        <w:t>10.3.</w:t>
      </w:r>
      <w:r>
        <w:rPr>
          <w:sz w:val="20"/>
          <w:szCs w:val="20"/>
          <w:u w:val="single"/>
        </w:rPr>
        <w:t>Bírósági jogérvényesítés (GDPR 79. cikk, Infotv. 23. §,)</w:t>
      </w:r>
    </w:p>
    <w:p w14:paraId="10E7BFA4" w14:textId="77777777" w:rsidR="001E5D10" w:rsidRDefault="00B51B91">
      <w:pPr>
        <w:pStyle w:val="Default"/>
        <w:ind w:left="284"/>
        <w:jc w:val="both"/>
        <w:rPr>
          <w:rFonts w:ascii="Times New Roman" w:hAnsi="Times New Roman" w:cs="Times New Roman"/>
          <w:sz w:val="20"/>
        </w:rPr>
      </w:pPr>
      <w:r>
        <w:rPr>
          <w:rFonts w:ascii="Times New Roman" w:hAnsi="Times New Roman" w:cs="Times New Roman"/>
          <w:sz w:val="20"/>
        </w:rPr>
        <w:t xml:space="preserve">Az érintett a jogainak megsértése esetén az adatkezelő ellen bírósághoz fordulhat, mivel minden érintett hatékony bírósági jogorvoslatra jogosult, ha megítélése szerint a személyes adatainak a GDPR-nak nem megfelelő kezelése következtében megsértették a GDPR-ban rögzített jogait (lásd.fent). </w:t>
      </w:r>
    </w:p>
    <w:p w14:paraId="25AFA975" w14:textId="77777777" w:rsidR="001E5D10" w:rsidRDefault="00B51B91">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5F04ADCA" w14:textId="77777777" w:rsidR="001E5D10" w:rsidRDefault="00B51B91">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518C18BD" w14:textId="77777777" w:rsidR="001E5D10" w:rsidRDefault="00B51B91">
      <w:pPr>
        <w:pStyle w:val="Default"/>
        <w:ind w:left="284"/>
        <w:jc w:val="both"/>
        <w:rPr>
          <w:rFonts w:ascii="Times New Roman" w:hAnsi="Times New Roman" w:cs="Times New Roman"/>
          <w:sz w:val="20"/>
        </w:rPr>
      </w:pPr>
      <w:r>
        <w:rPr>
          <w:rFonts w:ascii="Times New Roman" w:hAnsi="Times New Roman" w:cs="Times New Roman"/>
          <w:sz w:val="20"/>
        </w:rPr>
        <w:t xml:space="preserve">Az érintett a perben kártérítést/sérelemdíjat követelhet az adatkezelőtől: </w:t>
      </w:r>
    </w:p>
    <w:p w14:paraId="069DFC41" w14:textId="77777777" w:rsidR="001E5D10" w:rsidRDefault="00B51B91">
      <w:pPr>
        <w:pStyle w:val="Default"/>
        <w:numPr>
          <w:ilvl w:val="0"/>
          <w:numId w:val="8"/>
        </w:numPr>
        <w:jc w:val="both"/>
        <w:rPr>
          <w:rFonts w:ascii="Times New Roman" w:hAnsi="Times New Roman" w:cs="Times New Roman"/>
          <w:sz w:val="20"/>
        </w:rPr>
      </w:pPr>
      <w:r>
        <w:rPr>
          <w:rFonts w:ascii="Times New Roman" w:hAnsi="Times New Roman" w:cs="Times New Roman"/>
          <w:sz w:val="20"/>
        </w:rPr>
        <w:t>ha az adatkezelő az érintett adatainak jogellenes kezelésével vagy az adatbiztonság követelményeinek megszegésével másnak kárt okoz, köteles azt megtéríteni;</w:t>
      </w:r>
    </w:p>
    <w:p w14:paraId="75E30B2C" w14:textId="77777777" w:rsidR="001E5D10" w:rsidRDefault="00B51B91">
      <w:pPr>
        <w:pStyle w:val="Default"/>
        <w:numPr>
          <w:ilvl w:val="0"/>
          <w:numId w:val="8"/>
        </w:numPr>
        <w:jc w:val="both"/>
        <w:rPr>
          <w:rFonts w:ascii="Times New Roman" w:hAnsi="Times New Roman" w:cs="Times New Roman"/>
          <w:sz w:val="20"/>
        </w:rPr>
      </w:pPr>
      <w:r>
        <w:rPr>
          <w:rFonts w:ascii="Times New Roman" w:hAnsi="Times New Roman" w:cs="Times New Roman"/>
          <w:sz w:val="20"/>
        </w:rPr>
        <w:t xml:space="preserve">ha az adatkezelő az érintett adatainak jogellenes kezelésével vagy az adatbiztonság követelményeinek megszegésével megsérti az érintett személyiségi jogát (pl. személyes adat illetéktelen személlyel való közlése vagy nyilvánosságra hozatala), az érintett sérelemdíjat követelhet az adatkezelőtől. </w:t>
      </w:r>
    </w:p>
    <w:p w14:paraId="223094B7" w14:textId="77777777" w:rsidR="001E5D10" w:rsidRDefault="001E5D10">
      <w:pPr>
        <w:rPr>
          <w:sz w:val="20"/>
        </w:rPr>
      </w:pPr>
    </w:p>
    <w:p w14:paraId="3CC60287" w14:textId="77777777" w:rsidR="001E5D10" w:rsidRDefault="001E5D10"/>
    <w:p w14:paraId="135BCAEA" w14:textId="77777777" w:rsidR="001E5D10" w:rsidRDefault="001E5D10">
      <w:pPr>
        <w:jc w:val="both"/>
      </w:pPr>
    </w:p>
    <w:p w14:paraId="43842CA1" w14:textId="77777777" w:rsidR="001E5D10" w:rsidRDefault="001E5D10"/>
    <w:p w14:paraId="40B0EA1D" w14:textId="77777777" w:rsidR="001E5D10" w:rsidRDefault="001E5D10">
      <w:pPr>
        <w:jc w:val="both"/>
        <w:rPr>
          <w:sz w:val="22"/>
          <w:szCs w:val="22"/>
        </w:rPr>
      </w:pPr>
    </w:p>
    <w:p w14:paraId="5E123B44" w14:textId="77777777" w:rsidR="001E5D10" w:rsidRDefault="001E5D10">
      <w:pPr>
        <w:jc w:val="both"/>
        <w:rPr>
          <w:sz w:val="20"/>
        </w:rPr>
      </w:pPr>
    </w:p>
    <w:sectPr w:rsidR="001E5D10">
      <w:footerReference w:type="default" r:id="rId1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72D43" w16cex:dateUtc="2022-11-22T10:13:00Z"/>
  <w16cex:commentExtensible w16cex:durableId="2720941A" w16cex:dateUtc="2022-11-17T10:06:00Z"/>
  <w16cex:commentExtensible w16cex:durableId="2721DBCD" w16cex:dateUtc="2022-11-18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6071AA" w16cid:durableId="23D78383"/>
  <w16cid:commentId w16cid:paraId="371D26D8" w16cid:durableId="27220C39"/>
  <w16cid:commentId w16cid:paraId="6F19E17A" w16cid:durableId="27C598FA"/>
  <w16cid:commentId w16cid:paraId="231DCF8D" w16cid:durableId="27C598FC"/>
  <w16cid:commentId w16cid:paraId="69CA065C" w16cid:durableId="27272D43"/>
  <w16cid:commentId w16cid:paraId="7E01B278" w16cid:durableId="27C59901"/>
  <w16cid:commentId w16cid:paraId="5FF52585" w16cid:durableId="23D78385"/>
  <w16cid:commentId w16cid:paraId="2F4088B2" w16cid:durableId="27C59904"/>
  <w16cid:commentId w16cid:paraId="551D2076" w16cid:durableId="25C8B26F"/>
  <w16cid:commentId w16cid:paraId="63433A17" w16cid:durableId="27C59906"/>
  <w16cid:commentId w16cid:paraId="71DDAB9A" w16cid:durableId="2720941A"/>
  <w16cid:commentId w16cid:paraId="797FB2FE" w16cid:durableId="2721DBCD"/>
  <w16cid:commentId w16cid:paraId="247B0BBD" w16cid:durableId="26795261"/>
  <w16cid:commentId w16cid:paraId="01DE10F4" w16cid:durableId="27C5990E"/>
  <w16cid:commentId w16cid:paraId="65BCD97B" w16cid:durableId="2720CBC0"/>
  <w16cid:commentId w16cid:paraId="4CDE76C9" w16cid:durableId="25C9E86E"/>
  <w16cid:commentId w16cid:paraId="6435E858" w16cid:durableId="25C9EA03"/>
  <w16cid:commentId w16cid:paraId="1B91046A" w16cid:durableId="23D78388"/>
  <w16cid:commentId w16cid:paraId="24166805" w16cid:durableId="23D78389"/>
  <w16cid:commentId w16cid:paraId="51B05CB9" w16cid:durableId="23D783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D30FE" w14:textId="77777777" w:rsidR="00BC6FBC" w:rsidRDefault="00BC6FBC">
      <w:r>
        <w:separator/>
      </w:r>
    </w:p>
  </w:endnote>
  <w:endnote w:type="continuationSeparator" w:id="0">
    <w:p w14:paraId="44F497FF" w14:textId="77777777" w:rsidR="00BC6FBC" w:rsidRDefault="00BC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2048766"/>
    </w:sdtPr>
    <w:sdtEndPr>
      <w:rPr>
        <w:sz w:val="20"/>
      </w:rPr>
    </w:sdtEndPr>
    <w:sdtContent>
      <w:p w14:paraId="2428F24D" w14:textId="69C80DAD" w:rsidR="001E5D10" w:rsidRPr="004E4BFF" w:rsidRDefault="00B51B91">
        <w:pPr>
          <w:pStyle w:val="llb"/>
          <w:jc w:val="center"/>
          <w:rPr>
            <w:sz w:val="20"/>
          </w:rPr>
        </w:pPr>
        <w:r w:rsidRPr="004E4BFF">
          <w:rPr>
            <w:sz w:val="20"/>
          </w:rPr>
          <w:fldChar w:fldCharType="begin"/>
        </w:r>
        <w:r w:rsidRPr="004E4BFF">
          <w:rPr>
            <w:sz w:val="20"/>
          </w:rPr>
          <w:instrText>PAGE   \* MERGEFORMAT</w:instrText>
        </w:r>
        <w:r w:rsidRPr="004E4BFF">
          <w:rPr>
            <w:sz w:val="20"/>
          </w:rPr>
          <w:fldChar w:fldCharType="separate"/>
        </w:r>
        <w:r w:rsidR="00E702FE">
          <w:rPr>
            <w:noProof/>
            <w:sz w:val="20"/>
          </w:rPr>
          <w:t>1</w:t>
        </w:r>
        <w:r w:rsidRPr="004E4BFF">
          <w:rPr>
            <w:sz w:val="20"/>
          </w:rPr>
          <w:fldChar w:fldCharType="end"/>
        </w:r>
      </w:p>
    </w:sdtContent>
  </w:sdt>
  <w:p w14:paraId="51E427AC" w14:textId="77777777" w:rsidR="001E5D10" w:rsidRDefault="001E5D1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16C74" w14:textId="77777777" w:rsidR="00BC6FBC" w:rsidRDefault="00BC6FBC">
      <w:r>
        <w:separator/>
      </w:r>
    </w:p>
  </w:footnote>
  <w:footnote w:type="continuationSeparator" w:id="0">
    <w:p w14:paraId="791A263B" w14:textId="77777777" w:rsidR="00BC6FBC" w:rsidRDefault="00BC6FBC">
      <w:r>
        <w:continuationSeparator/>
      </w:r>
    </w:p>
  </w:footnote>
  <w:footnote w:id="1">
    <w:p w14:paraId="76D33E43" w14:textId="77777777" w:rsidR="00D02D1E" w:rsidRPr="006340A0" w:rsidRDefault="00D02D1E" w:rsidP="00D02D1E">
      <w:pPr>
        <w:jc w:val="both"/>
      </w:pPr>
    </w:p>
  </w:footnote>
  <w:footnote w:id="2">
    <w:p w14:paraId="1F2592F1" w14:textId="77777777" w:rsidR="001E5D10" w:rsidRDefault="00B51B91">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3">
    <w:p w14:paraId="7F82ED9B" w14:textId="5FAE68BC" w:rsidR="001E5D10" w:rsidRDefault="00B51B91" w:rsidP="00017E16">
      <w:pPr>
        <w:pStyle w:val="Lbjegyzetszveg"/>
        <w:jc w:val="both"/>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4">
    <w:p w14:paraId="6D168724" w14:textId="77777777" w:rsidR="00B51B91" w:rsidRDefault="00B51B91" w:rsidP="00017E16">
      <w:pPr>
        <w:pStyle w:val="Lbjegyzetszveg"/>
        <w:jc w:val="both"/>
      </w:pPr>
      <w:r>
        <w:rPr>
          <w:rStyle w:val="Lbjegyzet-hivatkozs"/>
          <w:sz w:val="18"/>
          <w:szCs w:val="18"/>
        </w:rPr>
        <w:footnoteRef/>
      </w:r>
      <w:r>
        <w:t xml:space="preserve"> </w:t>
      </w:r>
      <w:r>
        <w:rPr>
          <w:color w:val="000000"/>
          <w:sz w:val="18"/>
          <w:szCs w:val="18"/>
        </w:rPr>
        <w:t>Infotv.: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54FB"/>
    <w:multiLevelType w:val="multilevel"/>
    <w:tmpl w:val="29C22D8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634C1F"/>
    <w:multiLevelType w:val="multilevel"/>
    <w:tmpl w:val="18634C1F"/>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622C90"/>
    <w:multiLevelType w:val="hybridMultilevel"/>
    <w:tmpl w:val="D540901E"/>
    <w:lvl w:ilvl="0" w:tplc="3E0495F2">
      <w:start w:val="1"/>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24306E58"/>
    <w:multiLevelType w:val="multilevel"/>
    <w:tmpl w:val="24306E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0A3A8E"/>
    <w:multiLevelType w:val="hybridMultilevel"/>
    <w:tmpl w:val="2FBED552"/>
    <w:lvl w:ilvl="0" w:tplc="4816F868">
      <w:start w:val="1"/>
      <w:numFmt w:val="decimal"/>
      <w:lvlText w:val="%1."/>
      <w:lvlJc w:val="left"/>
      <w:pPr>
        <w:ind w:left="927"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9C22D89"/>
    <w:multiLevelType w:val="multilevel"/>
    <w:tmpl w:val="29C22D8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9C21B6"/>
    <w:multiLevelType w:val="hybridMultilevel"/>
    <w:tmpl w:val="39D2B2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B2A058C"/>
    <w:multiLevelType w:val="multilevel"/>
    <w:tmpl w:val="3B2A058C"/>
    <w:lvl w:ilvl="0">
      <w:start w:val="1053"/>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A14B63"/>
    <w:multiLevelType w:val="multilevel"/>
    <w:tmpl w:val="29C22D8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EB20AB"/>
    <w:multiLevelType w:val="hybridMultilevel"/>
    <w:tmpl w:val="2FBED552"/>
    <w:lvl w:ilvl="0" w:tplc="4816F868">
      <w:start w:val="1"/>
      <w:numFmt w:val="decimal"/>
      <w:lvlText w:val="%1."/>
      <w:lvlJc w:val="left"/>
      <w:pPr>
        <w:ind w:left="927"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07B376A"/>
    <w:multiLevelType w:val="multilevel"/>
    <w:tmpl w:val="507B376A"/>
    <w:lvl w:ilvl="0">
      <w:start w:val="1053"/>
      <w:numFmt w:val="bullet"/>
      <w:lvlText w:val="-"/>
      <w:lvlJc w:val="left"/>
      <w:pPr>
        <w:ind w:left="564" w:hanging="360"/>
      </w:pPr>
      <w:rPr>
        <w:rFonts w:ascii="Times New Roman" w:eastAsia="Calibri" w:hAnsi="Times New Roman" w:cs="Times New Roman" w:hint="default"/>
      </w:rPr>
    </w:lvl>
    <w:lvl w:ilvl="1">
      <w:start w:val="1"/>
      <w:numFmt w:val="bullet"/>
      <w:lvlText w:val="o"/>
      <w:lvlJc w:val="left"/>
      <w:pPr>
        <w:ind w:left="1284" w:hanging="360"/>
      </w:pPr>
      <w:rPr>
        <w:rFonts w:ascii="Courier New" w:hAnsi="Courier New" w:cs="Courier New" w:hint="default"/>
      </w:rPr>
    </w:lvl>
    <w:lvl w:ilvl="2">
      <w:start w:val="1"/>
      <w:numFmt w:val="bullet"/>
      <w:lvlText w:val=""/>
      <w:lvlJc w:val="left"/>
      <w:pPr>
        <w:ind w:left="2004" w:hanging="360"/>
      </w:pPr>
      <w:rPr>
        <w:rFonts w:ascii="Wingdings" w:hAnsi="Wingdings" w:hint="default"/>
      </w:rPr>
    </w:lvl>
    <w:lvl w:ilvl="3">
      <w:start w:val="1"/>
      <w:numFmt w:val="bullet"/>
      <w:lvlText w:val=""/>
      <w:lvlJc w:val="left"/>
      <w:pPr>
        <w:ind w:left="2724" w:hanging="360"/>
      </w:pPr>
      <w:rPr>
        <w:rFonts w:ascii="Symbol" w:hAnsi="Symbol" w:hint="default"/>
      </w:rPr>
    </w:lvl>
    <w:lvl w:ilvl="4">
      <w:start w:val="1"/>
      <w:numFmt w:val="bullet"/>
      <w:lvlText w:val="o"/>
      <w:lvlJc w:val="left"/>
      <w:pPr>
        <w:ind w:left="3444" w:hanging="360"/>
      </w:pPr>
      <w:rPr>
        <w:rFonts w:ascii="Courier New" w:hAnsi="Courier New" w:cs="Courier New" w:hint="default"/>
      </w:rPr>
    </w:lvl>
    <w:lvl w:ilvl="5">
      <w:start w:val="1"/>
      <w:numFmt w:val="bullet"/>
      <w:lvlText w:val=""/>
      <w:lvlJc w:val="left"/>
      <w:pPr>
        <w:ind w:left="4164" w:hanging="360"/>
      </w:pPr>
      <w:rPr>
        <w:rFonts w:ascii="Wingdings" w:hAnsi="Wingdings" w:hint="default"/>
      </w:rPr>
    </w:lvl>
    <w:lvl w:ilvl="6">
      <w:start w:val="1"/>
      <w:numFmt w:val="bullet"/>
      <w:lvlText w:val=""/>
      <w:lvlJc w:val="left"/>
      <w:pPr>
        <w:ind w:left="4884" w:hanging="360"/>
      </w:pPr>
      <w:rPr>
        <w:rFonts w:ascii="Symbol" w:hAnsi="Symbol" w:hint="default"/>
      </w:rPr>
    </w:lvl>
    <w:lvl w:ilvl="7">
      <w:start w:val="1"/>
      <w:numFmt w:val="bullet"/>
      <w:lvlText w:val="o"/>
      <w:lvlJc w:val="left"/>
      <w:pPr>
        <w:ind w:left="5604" w:hanging="360"/>
      </w:pPr>
      <w:rPr>
        <w:rFonts w:ascii="Courier New" w:hAnsi="Courier New" w:cs="Courier New" w:hint="default"/>
      </w:rPr>
    </w:lvl>
    <w:lvl w:ilvl="8">
      <w:start w:val="1"/>
      <w:numFmt w:val="bullet"/>
      <w:lvlText w:val=""/>
      <w:lvlJc w:val="left"/>
      <w:pPr>
        <w:ind w:left="6324" w:hanging="360"/>
      </w:pPr>
      <w:rPr>
        <w:rFonts w:ascii="Wingdings" w:hAnsi="Wingdings" w:hint="default"/>
      </w:rPr>
    </w:lvl>
  </w:abstractNum>
  <w:abstractNum w:abstractNumId="11" w15:restartNumberingAfterBreak="0">
    <w:nsid w:val="60BE1534"/>
    <w:multiLevelType w:val="multilevel"/>
    <w:tmpl w:val="60BE1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FD2FF6"/>
    <w:multiLevelType w:val="multilevel"/>
    <w:tmpl w:val="6EFD2F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13"/>
  </w:num>
  <w:num w:numId="4">
    <w:abstractNumId w:val="7"/>
  </w:num>
  <w:num w:numId="5">
    <w:abstractNumId w:val="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4"/>
  </w:num>
  <w:num w:numId="11">
    <w:abstractNumId w:val="9"/>
  </w:num>
  <w:num w:numId="12">
    <w:abstractNumId w:val="8"/>
  </w:num>
  <w:num w:numId="13">
    <w:abstractNumId w:val="2"/>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7D"/>
    <w:rsid w:val="00001BFE"/>
    <w:rsid w:val="000030F3"/>
    <w:rsid w:val="00006BC7"/>
    <w:rsid w:val="00010EBA"/>
    <w:rsid w:val="00013E99"/>
    <w:rsid w:val="00017E16"/>
    <w:rsid w:val="00022172"/>
    <w:rsid w:val="00022410"/>
    <w:rsid w:val="000317C1"/>
    <w:rsid w:val="0004761B"/>
    <w:rsid w:val="00063E50"/>
    <w:rsid w:val="00075754"/>
    <w:rsid w:val="00077CF5"/>
    <w:rsid w:val="00081302"/>
    <w:rsid w:val="00082E8D"/>
    <w:rsid w:val="000858CA"/>
    <w:rsid w:val="00087C32"/>
    <w:rsid w:val="0009287E"/>
    <w:rsid w:val="000A0C77"/>
    <w:rsid w:val="000A54E2"/>
    <w:rsid w:val="000B13C3"/>
    <w:rsid w:val="000B2CDC"/>
    <w:rsid w:val="000B5188"/>
    <w:rsid w:val="000B5FAC"/>
    <w:rsid w:val="000C204E"/>
    <w:rsid w:val="000C2BA7"/>
    <w:rsid w:val="000C7FB5"/>
    <w:rsid w:val="000D275E"/>
    <w:rsid w:val="000D57DE"/>
    <w:rsid w:val="000D5E2C"/>
    <w:rsid w:val="001079FD"/>
    <w:rsid w:val="001135FE"/>
    <w:rsid w:val="00114BE6"/>
    <w:rsid w:val="001233E5"/>
    <w:rsid w:val="001256E5"/>
    <w:rsid w:val="0012695F"/>
    <w:rsid w:val="00131311"/>
    <w:rsid w:val="00143834"/>
    <w:rsid w:val="0014616A"/>
    <w:rsid w:val="00166D6E"/>
    <w:rsid w:val="001763ED"/>
    <w:rsid w:val="00185A6B"/>
    <w:rsid w:val="001A2D10"/>
    <w:rsid w:val="001A6D68"/>
    <w:rsid w:val="001B2E63"/>
    <w:rsid w:val="001B2EC0"/>
    <w:rsid w:val="001B39F9"/>
    <w:rsid w:val="001C0C2C"/>
    <w:rsid w:val="001C34F5"/>
    <w:rsid w:val="001D0CE1"/>
    <w:rsid w:val="001D15B3"/>
    <w:rsid w:val="001D3E8A"/>
    <w:rsid w:val="001D495E"/>
    <w:rsid w:val="001D6ADC"/>
    <w:rsid w:val="001E280B"/>
    <w:rsid w:val="001E2F0A"/>
    <w:rsid w:val="001E52BE"/>
    <w:rsid w:val="001E5D10"/>
    <w:rsid w:val="001F2311"/>
    <w:rsid w:val="001F2486"/>
    <w:rsid w:val="001F37A5"/>
    <w:rsid w:val="001F6879"/>
    <w:rsid w:val="00202D49"/>
    <w:rsid w:val="00204954"/>
    <w:rsid w:val="0020678E"/>
    <w:rsid w:val="0020788E"/>
    <w:rsid w:val="002142D0"/>
    <w:rsid w:val="00215C51"/>
    <w:rsid w:val="002207FE"/>
    <w:rsid w:val="0022292E"/>
    <w:rsid w:val="00222D1A"/>
    <w:rsid w:val="00227DAF"/>
    <w:rsid w:val="0023332B"/>
    <w:rsid w:val="00234569"/>
    <w:rsid w:val="00240196"/>
    <w:rsid w:val="00241ECB"/>
    <w:rsid w:val="00242FC0"/>
    <w:rsid w:val="00245834"/>
    <w:rsid w:val="00253CC9"/>
    <w:rsid w:val="00260D78"/>
    <w:rsid w:val="00261B26"/>
    <w:rsid w:val="002657C3"/>
    <w:rsid w:val="00266876"/>
    <w:rsid w:val="00270DEC"/>
    <w:rsid w:val="002730AE"/>
    <w:rsid w:val="00273C15"/>
    <w:rsid w:val="00277ADC"/>
    <w:rsid w:val="002846B0"/>
    <w:rsid w:val="002950CF"/>
    <w:rsid w:val="00297DB9"/>
    <w:rsid w:val="002A3E0E"/>
    <w:rsid w:val="002A71C6"/>
    <w:rsid w:val="002C7A01"/>
    <w:rsid w:val="002D717C"/>
    <w:rsid w:val="002D74D5"/>
    <w:rsid w:val="002D7BE6"/>
    <w:rsid w:val="002F2DA6"/>
    <w:rsid w:val="002F425C"/>
    <w:rsid w:val="002F6AE1"/>
    <w:rsid w:val="00303F30"/>
    <w:rsid w:val="003211C3"/>
    <w:rsid w:val="003258F8"/>
    <w:rsid w:val="00326C44"/>
    <w:rsid w:val="00332423"/>
    <w:rsid w:val="00351F31"/>
    <w:rsid w:val="00365841"/>
    <w:rsid w:val="00370609"/>
    <w:rsid w:val="00373851"/>
    <w:rsid w:val="003751EB"/>
    <w:rsid w:val="00377C24"/>
    <w:rsid w:val="0038397D"/>
    <w:rsid w:val="00384AF6"/>
    <w:rsid w:val="00386CF7"/>
    <w:rsid w:val="00390F6A"/>
    <w:rsid w:val="003959CC"/>
    <w:rsid w:val="003A2444"/>
    <w:rsid w:val="003B4BBA"/>
    <w:rsid w:val="003C28E8"/>
    <w:rsid w:val="003C293A"/>
    <w:rsid w:val="003D0AA0"/>
    <w:rsid w:val="003D2448"/>
    <w:rsid w:val="003D3228"/>
    <w:rsid w:val="003D53D2"/>
    <w:rsid w:val="003D67D4"/>
    <w:rsid w:val="003D73CF"/>
    <w:rsid w:val="003E4652"/>
    <w:rsid w:val="00404205"/>
    <w:rsid w:val="004151C6"/>
    <w:rsid w:val="00417D04"/>
    <w:rsid w:val="00423085"/>
    <w:rsid w:val="00431300"/>
    <w:rsid w:val="00432B8C"/>
    <w:rsid w:val="00436107"/>
    <w:rsid w:val="00440669"/>
    <w:rsid w:val="004435CE"/>
    <w:rsid w:val="00447785"/>
    <w:rsid w:val="00452BDE"/>
    <w:rsid w:val="00452E7F"/>
    <w:rsid w:val="00460C2F"/>
    <w:rsid w:val="004621D0"/>
    <w:rsid w:val="00464F24"/>
    <w:rsid w:val="00476E5D"/>
    <w:rsid w:val="004860D6"/>
    <w:rsid w:val="00486643"/>
    <w:rsid w:val="00487FA8"/>
    <w:rsid w:val="00491034"/>
    <w:rsid w:val="00495655"/>
    <w:rsid w:val="004A5475"/>
    <w:rsid w:val="004A7BD3"/>
    <w:rsid w:val="004B46A1"/>
    <w:rsid w:val="004B5CBF"/>
    <w:rsid w:val="004D1CAA"/>
    <w:rsid w:val="004D2C87"/>
    <w:rsid w:val="004D65A8"/>
    <w:rsid w:val="004E10B9"/>
    <w:rsid w:val="004E4BFF"/>
    <w:rsid w:val="004F0D6C"/>
    <w:rsid w:val="004F774A"/>
    <w:rsid w:val="005005DE"/>
    <w:rsid w:val="00506571"/>
    <w:rsid w:val="00517340"/>
    <w:rsid w:val="0052589E"/>
    <w:rsid w:val="00533D09"/>
    <w:rsid w:val="005373DE"/>
    <w:rsid w:val="00556927"/>
    <w:rsid w:val="00557811"/>
    <w:rsid w:val="005622E1"/>
    <w:rsid w:val="00565DD0"/>
    <w:rsid w:val="00567CE3"/>
    <w:rsid w:val="00573558"/>
    <w:rsid w:val="005741FD"/>
    <w:rsid w:val="00574B67"/>
    <w:rsid w:val="005773D8"/>
    <w:rsid w:val="0058370D"/>
    <w:rsid w:val="00583C96"/>
    <w:rsid w:val="00584231"/>
    <w:rsid w:val="00593AF3"/>
    <w:rsid w:val="005A4F8D"/>
    <w:rsid w:val="005A6DEA"/>
    <w:rsid w:val="005A7669"/>
    <w:rsid w:val="005B2F84"/>
    <w:rsid w:val="005B4457"/>
    <w:rsid w:val="005B512B"/>
    <w:rsid w:val="005C6FEC"/>
    <w:rsid w:val="005D1AF2"/>
    <w:rsid w:val="005D4DC9"/>
    <w:rsid w:val="0060185F"/>
    <w:rsid w:val="00631496"/>
    <w:rsid w:val="00637EF0"/>
    <w:rsid w:val="00654996"/>
    <w:rsid w:val="00661D2E"/>
    <w:rsid w:val="00662586"/>
    <w:rsid w:val="006658D9"/>
    <w:rsid w:val="00670906"/>
    <w:rsid w:val="00683EE1"/>
    <w:rsid w:val="0069354F"/>
    <w:rsid w:val="00693E2B"/>
    <w:rsid w:val="006A2DA9"/>
    <w:rsid w:val="006A60EB"/>
    <w:rsid w:val="006B376C"/>
    <w:rsid w:val="006B6851"/>
    <w:rsid w:val="006B6CAE"/>
    <w:rsid w:val="006C2A83"/>
    <w:rsid w:val="006C3772"/>
    <w:rsid w:val="006C522E"/>
    <w:rsid w:val="006C6611"/>
    <w:rsid w:val="006C73DC"/>
    <w:rsid w:val="006D138B"/>
    <w:rsid w:val="006D4265"/>
    <w:rsid w:val="006D5D21"/>
    <w:rsid w:val="006D7982"/>
    <w:rsid w:val="006E0733"/>
    <w:rsid w:val="006E3D66"/>
    <w:rsid w:val="006E5F67"/>
    <w:rsid w:val="006F6A32"/>
    <w:rsid w:val="00701865"/>
    <w:rsid w:val="007022D0"/>
    <w:rsid w:val="00703380"/>
    <w:rsid w:val="00705570"/>
    <w:rsid w:val="00710426"/>
    <w:rsid w:val="00730E7C"/>
    <w:rsid w:val="0073499A"/>
    <w:rsid w:val="00735BC4"/>
    <w:rsid w:val="00741FC8"/>
    <w:rsid w:val="00743E58"/>
    <w:rsid w:val="00745998"/>
    <w:rsid w:val="00771704"/>
    <w:rsid w:val="00771A4F"/>
    <w:rsid w:val="0077371F"/>
    <w:rsid w:val="00775AC6"/>
    <w:rsid w:val="00785BD9"/>
    <w:rsid w:val="00791D25"/>
    <w:rsid w:val="00792CDB"/>
    <w:rsid w:val="00793472"/>
    <w:rsid w:val="007A0819"/>
    <w:rsid w:val="007B0974"/>
    <w:rsid w:val="007B7F3B"/>
    <w:rsid w:val="007C1B58"/>
    <w:rsid w:val="007C2698"/>
    <w:rsid w:val="007D4284"/>
    <w:rsid w:val="007E2211"/>
    <w:rsid w:val="007F52FA"/>
    <w:rsid w:val="007F5898"/>
    <w:rsid w:val="0080333C"/>
    <w:rsid w:val="00806C1D"/>
    <w:rsid w:val="00817E51"/>
    <w:rsid w:val="00823203"/>
    <w:rsid w:val="00824D32"/>
    <w:rsid w:val="00833086"/>
    <w:rsid w:val="0084797D"/>
    <w:rsid w:val="00852A70"/>
    <w:rsid w:val="00853F77"/>
    <w:rsid w:val="00855EE4"/>
    <w:rsid w:val="0086412F"/>
    <w:rsid w:val="008649F6"/>
    <w:rsid w:val="008763FA"/>
    <w:rsid w:val="00876CC4"/>
    <w:rsid w:val="00880039"/>
    <w:rsid w:val="00880BAA"/>
    <w:rsid w:val="00881E9B"/>
    <w:rsid w:val="00886330"/>
    <w:rsid w:val="00886460"/>
    <w:rsid w:val="0089169A"/>
    <w:rsid w:val="00892CBD"/>
    <w:rsid w:val="008A004E"/>
    <w:rsid w:val="008B1145"/>
    <w:rsid w:val="008B2A8A"/>
    <w:rsid w:val="008C330A"/>
    <w:rsid w:val="008C48A7"/>
    <w:rsid w:val="008D40ED"/>
    <w:rsid w:val="008D7F96"/>
    <w:rsid w:val="008F7C25"/>
    <w:rsid w:val="008F7E6E"/>
    <w:rsid w:val="0090145F"/>
    <w:rsid w:val="00903F73"/>
    <w:rsid w:val="00911F7C"/>
    <w:rsid w:val="009125CF"/>
    <w:rsid w:val="009314BF"/>
    <w:rsid w:val="00934181"/>
    <w:rsid w:val="0094131B"/>
    <w:rsid w:val="00942EB0"/>
    <w:rsid w:val="00943748"/>
    <w:rsid w:val="00950E71"/>
    <w:rsid w:val="00952487"/>
    <w:rsid w:val="0096675A"/>
    <w:rsid w:val="00967EE0"/>
    <w:rsid w:val="00971994"/>
    <w:rsid w:val="00973E4C"/>
    <w:rsid w:val="009779AC"/>
    <w:rsid w:val="00980DBF"/>
    <w:rsid w:val="009830EE"/>
    <w:rsid w:val="009840A9"/>
    <w:rsid w:val="00990A90"/>
    <w:rsid w:val="009A11F5"/>
    <w:rsid w:val="009B431F"/>
    <w:rsid w:val="009B4891"/>
    <w:rsid w:val="009C736F"/>
    <w:rsid w:val="009D31E2"/>
    <w:rsid w:val="009E1CDE"/>
    <w:rsid w:val="009E3553"/>
    <w:rsid w:val="009E724C"/>
    <w:rsid w:val="009E7989"/>
    <w:rsid w:val="009F447C"/>
    <w:rsid w:val="00A0658D"/>
    <w:rsid w:val="00A1652B"/>
    <w:rsid w:val="00A25B74"/>
    <w:rsid w:val="00A31CE0"/>
    <w:rsid w:val="00A34DE4"/>
    <w:rsid w:val="00A36755"/>
    <w:rsid w:val="00A36AE4"/>
    <w:rsid w:val="00A46437"/>
    <w:rsid w:val="00A5657E"/>
    <w:rsid w:val="00A575DF"/>
    <w:rsid w:val="00A60F5C"/>
    <w:rsid w:val="00A67E34"/>
    <w:rsid w:val="00A72FDA"/>
    <w:rsid w:val="00A75663"/>
    <w:rsid w:val="00A7570E"/>
    <w:rsid w:val="00A762C6"/>
    <w:rsid w:val="00A804CE"/>
    <w:rsid w:val="00A81449"/>
    <w:rsid w:val="00A8296C"/>
    <w:rsid w:val="00A85E5E"/>
    <w:rsid w:val="00A9071E"/>
    <w:rsid w:val="00A9122C"/>
    <w:rsid w:val="00AB21EB"/>
    <w:rsid w:val="00AB34F8"/>
    <w:rsid w:val="00AD23D9"/>
    <w:rsid w:val="00AD50F5"/>
    <w:rsid w:val="00AD5306"/>
    <w:rsid w:val="00AE10BD"/>
    <w:rsid w:val="00AE1C58"/>
    <w:rsid w:val="00AE1C86"/>
    <w:rsid w:val="00AE4099"/>
    <w:rsid w:val="00AE67C4"/>
    <w:rsid w:val="00AE745C"/>
    <w:rsid w:val="00AF54E2"/>
    <w:rsid w:val="00AF5686"/>
    <w:rsid w:val="00B001BA"/>
    <w:rsid w:val="00B01C8A"/>
    <w:rsid w:val="00B05143"/>
    <w:rsid w:val="00B0651E"/>
    <w:rsid w:val="00B11E6A"/>
    <w:rsid w:val="00B161AB"/>
    <w:rsid w:val="00B20F09"/>
    <w:rsid w:val="00B25B3F"/>
    <w:rsid w:val="00B26CF2"/>
    <w:rsid w:val="00B3503F"/>
    <w:rsid w:val="00B51B91"/>
    <w:rsid w:val="00B666B6"/>
    <w:rsid w:val="00B6726D"/>
    <w:rsid w:val="00B67B59"/>
    <w:rsid w:val="00B67EDC"/>
    <w:rsid w:val="00B774BB"/>
    <w:rsid w:val="00B81FB5"/>
    <w:rsid w:val="00B8773A"/>
    <w:rsid w:val="00BA2676"/>
    <w:rsid w:val="00BA34E3"/>
    <w:rsid w:val="00BB099E"/>
    <w:rsid w:val="00BB4A59"/>
    <w:rsid w:val="00BB7085"/>
    <w:rsid w:val="00BC16B6"/>
    <w:rsid w:val="00BC19A7"/>
    <w:rsid w:val="00BC48D0"/>
    <w:rsid w:val="00BC6FBC"/>
    <w:rsid w:val="00BC7435"/>
    <w:rsid w:val="00BE0FC2"/>
    <w:rsid w:val="00BE7951"/>
    <w:rsid w:val="00BF15CA"/>
    <w:rsid w:val="00BF186B"/>
    <w:rsid w:val="00BF2954"/>
    <w:rsid w:val="00C02ACE"/>
    <w:rsid w:val="00C0471F"/>
    <w:rsid w:val="00C23884"/>
    <w:rsid w:val="00C415E5"/>
    <w:rsid w:val="00C4202E"/>
    <w:rsid w:val="00C42DB8"/>
    <w:rsid w:val="00C45D67"/>
    <w:rsid w:val="00C47DBA"/>
    <w:rsid w:val="00C57110"/>
    <w:rsid w:val="00C6160D"/>
    <w:rsid w:val="00C6209A"/>
    <w:rsid w:val="00C63843"/>
    <w:rsid w:val="00C738CD"/>
    <w:rsid w:val="00C74B8D"/>
    <w:rsid w:val="00C809DF"/>
    <w:rsid w:val="00C82E41"/>
    <w:rsid w:val="00C85952"/>
    <w:rsid w:val="00C94F5C"/>
    <w:rsid w:val="00CB00A8"/>
    <w:rsid w:val="00CC491A"/>
    <w:rsid w:val="00CD7594"/>
    <w:rsid w:val="00CE697B"/>
    <w:rsid w:val="00CE7A99"/>
    <w:rsid w:val="00CF157D"/>
    <w:rsid w:val="00CF4162"/>
    <w:rsid w:val="00D027DF"/>
    <w:rsid w:val="00D02D1E"/>
    <w:rsid w:val="00D0795A"/>
    <w:rsid w:val="00D10A62"/>
    <w:rsid w:val="00D114C3"/>
    <w:rsid w:val="00D219EB"/>
    <w:rsid w:val="00D34E58"/>
    <w:rsid w:val="00D41FAB"/>
    <w:rsid w:val="00D45E92"/>
    <w:rsid w:val="00D547E6"/>
    <w:rsid w:val="00D60D32"/>
    <w:rsid w:val="00D64AD4"/>
    <w:rsid w:val="00D65ED9"/>
    <w:rsid w:val="00D6702E"/>
    <w:rsid w:val="00D733F6"/>
    <w:rsid w:val="00D73639"/>
    <w:rsid w:val="00D8072A"/>
    <w:rsid w:val="00D80BD2"/>
    <w:rsid w:val="00D867A3"/>
    <w:rsid w:val="00D871F3"/>
    <w:rsid w:val="00D90269"/>
    <w:rsid w:val="00D94194"/>
    <w:rsid w:val="00D94E23"/>
    <w:rsid w:val="00DA16A1"/>
    <w:rsid w:val="00DA2A4A"/>
    <w:rsid w:val="00DA3147"/>
    <w:rsid w:val="00DB229C"/>
    <w:rsid w:val="00DB2E95"/>
    <w:rsid w:val="00DB3042"/>
    <w:rsid w:val="00DB43DB"/>
    <w:rsid w:val="00DB44DD"/>
    <w:rsid w:val="00DB7D1F"/>
    <w:rsid w:val="00DC12F4"/>
    <w:rsid w:val="00DD4616"/>
    <w:rsid w:val="00DE6079"/>
    <w:rsid w:val="00DE6483"/>
    <w:rsid w:val="00DF0CEF"/>
    <w:rsid w:val="00DF30BC"/>
    <w:rsid w:val="00E06C2E"/>
    <w:rsid w:val="00E148E7"/>
    <w:rsid w:val="00E21CC3"/>
    <w:rsid w:val="00E232DC"/>
    <w:rsid w:val="00E26A03"/>
    <w:rsid w:val="00E31A1E"/>
    <w:rsid w:val="00E37711"/>
    <w:rsid w:val="00E457AF"/>
    <w:rsid w:val="00E504B3"/>
    <w:rsid w:val="00E539D8"/>
    <w:rsid w:val="00E5572E"/>
    <w:rsid w:val="00E57E54"/>
    <w:rsid w:val="00E650BA"/>
    <w:rsid w:val="00E702FE"/>
    <w:rsid w:val="00E72B1B"/>
    <w:rsid w:val="00E809F0"/>
    <w:rsid w:val="00E83E3E"/>
    <w:rsid w:val="00E95AA9"/>
    <w:rsid w:val="00EA446E"/>
    <w:rsid w:val="00EA6D63"/>
    <w:rsid w:val="00EB011C"/>
    <w:rsid w:val="00EB1631"/>
    <w:rsid w:val="00EB20EF"/>
    <w:rsid w:val="00EB26F9"/>
    <w:rsid w:val="00EB55A4"/>
    <w:rsid w:val="00EB7423"/>
    <w:rsid w:val="00EC1715"/>
    <w:rsid w:val="00EC24A2"/>
    <w:rsid w:val="00EC49A4"/>
    <w:rsid w:val="00EC5766"/>
    <w:rsid w:val="00EC7B4F"/>
    <w:rsid w:val="00ED4C21"/>
    <w:rsid w:val="00EE35E8"/>
    <w:rsid w:val="00EE5A33"/>
    <w:rsid w:val="00EF056A"/>
    <w:rsid w:val="00EF2483"/>
    <w:rsid w:val="00F01A2D"/>
    <w:rsid w:val="00F14A85"/>
    <w:rsid w:val="00F17FDE"/>
    <w:rsid w:val="00F20A9E"/>
    <w:rsid w:val="00F216ED"/>
    <w:rsid w:val="00F22A5E"/>
    <w:rsid w:val="00F373AB"/>
    <w:rsid w:val="00F4374F"/>
    <w:rsid w:val="00F465F2"/>
    <w:rsid w:val="00F620F6"/>
    <w:rsid w:val="00F650E9"/>
    <w:rsid w:val="00F868DB"/>
    <w:rsid w:val="00F93203"/>
    <w:rsid w:val="00F9656E"/>
    <w:rsid w:val="00FA2274"/>
    <w:rsid w:val="00FA339F"/>
    <w:rsid w:val="00FA3D0A"/>
    <w:rsid w:val="00FA6616"/>
    <w:rsid w:val="00FB0978"/>
    <w:rsid w:val="00FC50AF"/>
    <w:rsid w:val="00FC57DB"/>
    <w:rsid w:val="00FD0E08"/>
    <w:rsid w:val="00FE13E6"/>
    <w:rsid w:val="00FE5E6D"/>
    <w:rsid w:val="00FF2798"/>
    <w:rsid w:val="00FF468F"/>
    <w:rsid w:val="1958765B"/>
    <w:rsid w:val="323DBAE3"/>
    <w:rsid w:val="33A6E209"/>
    <w:rsid w:val="34092726"/>
    <w:rsid w:val="3E7DC745"/>
    <w:rsid w:val="45646549"/>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2A11"/>
  <w15:docId w15:val="{F548C1AE-37BC-4963-AF77-0904EF14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Times New Roman" w:eastAsia="Times New Roman" w:hAnsi="Times New Roman"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Pr>
      <w:rFonts w:ascii="Tahoma" w:hAnsi="Tahoma" w:cs="Tahoma"/>
      <w:sz w:val="16"/>
      <w:szCs w:val="16"/>
    </w:rPr>
  </w:style>
  <w:style w:type="character" w:styleId="Jegyzethivatkozs">
    <w:name w:val="annotation reference"/>
    <w:basedOn w:val="Bekezdsalapbettpusa"/>
    <w:uiPriority w:val="99"/>
    <w:semiHidden/>
    <w:unhideWhenUsed/>
    <w:qFormat/>
    <w:rPr>
      <w:sz w:val="16"/>
      <w:szCs w:val="16"/>
    </w:rPr>
  </w:style>
  <w:style w:type="paragraph" w:styleId="Jegyzetszveg">
    <w:name w:val="annotation text"/>
    <w:basedOn w:val="Norml"/>
    <w:link w:val="JegyzetszvegChar"/>
    <w:uiPriority w:val="99"/>
    <w:unhideWhenUsed/>
    <w:qFormat/>
    <w:rPr>
      <w:sz w:val="20"/>
    </w:rPr>
  </w:style>
  <w:style w:type="paragraph" w:styleId="Megjegyzstrgya">
    <w:name w:val="annotation subject"/>
    <w:basedOn w:val="Jegyzetszveg"/>
    <w:next w:val="Jegyzetszveg"/>
    <w:link w:val="MegjegyzstrgyaChar"/>
    <w:uiPriority w:val="99"/>
    <w:semiHidden/>
    <w:unhideWhenUsed/>
    <w:rPr>
      <w:b/>
      <w:bCs/>
    </w:rPr>
  </w:style>
  <w:style w:type="paragraph" w:styleId="llb">
    <w:name w:val="footer"/>
    <w:basedOn w:val="Norml"/>
    <w:link w:val="llbChar"/>
    <w:uiPriority w:val="99"/>
    <w:unhideWhenUsed/>
    <w:qFormat/>
    <w:pPr>
      <w:tabs>
        <w:tab w:val="center" w:pos="4536"/>
        <w:tab w:val="right" w:pos="9072"/>
      </w:tabs>
    </w:pPr>
  </w:style>
  <w:style w:type="character" w:styleId="Lbjegyzet-hivatkozs">
    <w:name w:val="footnote reference"/>
    <w:uiPriority w:val="99"/>
    <w:semiHidden/>
    <w:qFormat/>
    <w:rPr>
      <w:vertAlign w:val="superscript"/>
    </w:rPr>
  </w:style>
  <w:style w:type="paragraph" w:styleId="Lbjegyzetszveg">
    <w:name w:val="footnote text"/>
    <w:basedOn w:val="Norml"/>
    <w:link w:val="LbjegyzetszvegChar"/>
    <w:uiPriority w:val="99"/>
    <w:semiHidden/>
    <w:qFormat/>
    <w:rPr>
      <w:sz w:val="20"/>
    </w:rPr>
  </w:style>
  <w:style w:type="paragraph" w:styleId="lfej">
    <w:name w:val="header"/>
    <w:basedOn w:val="Norml"/>
    <w:link w:val="lfejChar"/>
    <w:uiPriority w:val="99"/>
    <w:unhideWhenUsed/>
    <w:pPr>
      <w:tabs>
        <w:tab w:val="center" w:pos="4536"/>
        <w:tab w:val="right" w:pos="9072"/>
      </w:tabs>
    </w:pPr>
  </w:style>
  <w:style w:type="character" w:styleId="Hiperhivatkozs">
    <w:name w:val="Hyperlink"/>
    <w:uiPriority w:val="99"/>
    <w:qFormat/>
    <w:rPr>
      <w:color w:val="006600"/>
      <w:u w:val="single"/>
    </w:rPr>
  </w:style>
  <w:style w:type="paragraph" w:styleId="NormlWeb">
    <w:name w:val="Normal (Web)"/>
    <w:basedOn w:val="Norml"/>
    <w:uiPriority w:val="99"/>
    <w:qFormat/>
    <w:pPr>
      <w:spacing w:before="100" w:beforeAutospacing="1" w:after="100" w:afterAutospacing="1"/>
    </w:pPr>
    <w:rPr>
      <w:szCs w:val="24"/>
    </w:rPr>
  </w:style>
  <w:style w:type="table" w:styleId="Rcsostblzat">
    <w:name w:val="Table Grid"/>
    <w:basedOn w:val="Normltblzat"/>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eastAsia="hu-HU"/>
    </w:rPr>
  </w:style>
  <w:style w:type="paragraph" w:styleId="Listaszerbekezds">
    <w:name w:val="List Paragraph"/>
    <w:basedOn w:val="Norml"/>
    <w:link w:val="ListaszerbekezdsChar"/>
    <w:uiPriority w:val="34"/>
    <w:qFormat/>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qFormat/>
    <w:pPr>
      <w:autoSpaceDE w:val="0"/>
      <w:autoSpaceDN w:val="0"/>
      <w:adjustRightInd w:val="0"/>
    </w:pPr>
    <w:rPr>
      <w:rFonts w:ascii="Arial" w:eastAsia="Times New Roman" w:hAnsi="Arial" w:cs="Arial"/>
      <w:color w:val="000000"/>
      <w:sz w:val="24"/>
      <w:szCs w:val="24"/>
    </w:rPr>
  </w:style>
  <w:style w:type="character" w:customStyle="1" w:styleId="BuborkszvegChar">
    <w:name w:val="Buborékszöveg Char"/>
    <w:basedOn w:val="Bekezdsalapbettpusa"/>
    <w:link w:val="Buborkszveg"/>
    <w:uiPriority w:val="99"/>
    <w:semiHidden/>
    <w:qFormat/>
    <w:rPr>
      <w:rFonts w:ascii="Tahoma" w:eastAsia="Times New Roman" w:hAnsi="Tahoma" w:cs="Tahoma"/>
      <w:sz w:val="16"/>
      <w:szCs w:val="16"/>
      <w:lang w:eastAsia="hu-HU"/>
    </w:rPr>
  </w:style>
  <w:style w:type="character" w:customStyle="1" w:styleId="JegyzetszvegChar">
    <w:name w:val="Jegyzetszöveg Char"/>
    <w:basedOn w:val="Bekezdsalapbettpusa"/>
    <w:link w:val="Jegyzetszveg"/>
    <w:uiPriority w:val="99"/>
    <w:qFormat/>
    <w:rPr>
      <w:rFonts w:ascii="Times New Roman" w:eastAsia="Times New Roman" w:hAnsi="Times New Roman" w:cs="Times New Roman"/>
      <w:sz w:val="20"/>
      <w:szCs w:val="20"/>
      <w:lang w:eastAsia="hu-HU"/>
    </w:rPr>
  </w:style>
  <w:style w:type="character" w:customStyle="1" w:styleId="MegjegyzstrgyaChar">
    <w:name w:val="Megjegyzés tárgya Char"/>
    <w:basedOn w:val="JegyzetszvegChar"/>
    <w:link w:val="Megjegyzstrgya"/>
    <w:uiPriority w:val="99"/>
    <w:semiHidden/>
    <w:qFormat/>
    <w:rPr>
      <w:rFonts w:ascii="Times New Roman" w:eastAsia="Times New Roman" w:hAnsi="Times New Roman" w:cs="Times New Roman"/>
      <w:b/>
      <w:bCs/>
      <w:sz w:val="20"/>
      <w:szCs w:val="20"/>
      <w:lang w:eastAsia="hu-HU"/>
    </w:rPr>
  </w:style>
  <w:style w:type="paragraph" w:customStyle="1" w:styleId="Norml1">
    <w:name w:val="Normál1"/>
    <w:basedOn w:val="Norml"/>
    <w:qFormat/>
    <w:pPr>
      <w:spacing w:before="100" w:beforeAutospacing="1" w:after="100" w:afterAutospacing="1"/>
    </w:pPr>
    <w:rPr>
      <w:szCs w:val="24"/>
    </w:rPr>
  </w:style>
  <w:style w:type="paragraph" w:customStyle="1" w:styleId="Vltozat1">
    <w:name w:val="Változat1"/>
    <w:hidden/>
    <w:uiPriority w:val="99"/>
    <w:semiHidden/>
    <w:qFormat/>
    <w:rPr>
      <w:rFonts w:ascii="Times New Roman" w:eastAsia="Times New Roman" w:hAnsi="Times New Roman" w:cs="Times New Roman"/>
      <w:sz w:val="24"/>
    </w:rPr>
  </w:style>
  <w:style w:type="character" w:customStyle="1" w:styleId="lfejChar">
    <w:name w:val="Élőfej Char"/>
    <w:basedOn w:val="Bekezdsalapbettpusa"/>
    <w:link w:val="lfej"/>
    <w:uiPriority w:val="99"/>
    <w:qFormat/>
    <w:rPr>
      <w:rFonts w:ascii="Times New Roman" w:eastAsia="Times New Roman" w:hAnsi="Times New Roman" w:cs="Times New Roman"/>
      <w:sz w:val="24"/>
      <w:szCs w:val="20"/>
      <w:lang w:eastAsia="hu-HU"/>
    </w:rPr>
  </w:style>
  <w:style w:type="character" w:customStyle="1" w:styleId="llbChar">
    <w:name w:val="Élőláb Char"/>
    <w:basedOn w:val="Bekezdsalapbettpusa"/>
    <w:link w:val="llb"/>
    <w:uiPriority w:val="99"/>
    <w:qFormat/>
    <w:rPr>
      <w:rFonts w:ascii="Times New Roman" w:eastAsia="Times New Roman" w:hAnsi="Times New Roman" w:cs="Times New Roman"/>
      <w:sz w:val="24"/>
      <w:szCs w:val="20"/>
      <w:lang w:eastAsia="hu-HU"/>
    </w:rPr>
  </w:style>
  <w:style w:type="character" w:customStyle="1" w:styleId="ListaszerbekezdsChar">
    <w:name w:val="Listaszerű bekezdés Char"/>
    <w:link w:val="Listaszerbekezds"/>
    <w:uiPriority w:val="34"/>
    <w:qFormat/>
    <w:locked/>
    <w:rsid w:val="004A5475"/>
    <w:rPr>
      <w:rFonts w:ascii="Calibri" w:eastAsia="Calibri" w:hAnsi="Calibri" w:cs="Times New Roman"/>
      <w:sz w:val="22"/>
      <w:szCs w:val="22"/>
      <w:lang w:eastAsia="en-US"/>
    </w:rPr>
  </w:style>
  <w:style w:type="paragraph" w:customStyle="1" w:styleId="uj">
    <w:name w:val="uj"/>
    <w:basedOn w:val="Norml"/>
    <w:rsid w:val="00390F6A"/>
    <w:pPr>
      <w:spacing w:before="100" w:beforeAutospacing="1" w:after="100" w:afterAutospacing="1"/>
    </w:pPr>
    <w:rPr>
      <w:szCs w:val="24"/>
    </w:rPr>
  </w:style>
  <w:style w:type="character" w:customStyle="1" w:styleId="highlighted">
    <w:name w:val="highlighted"/>
    <w:basedOn w:val="Bekezdsalapbettpusa"/>
    <w:rsid w:val="00390F6A"/>
  </w:style>
  <w:style w:type="paragraph" w:customStyle="1" w:styleId="xmsonormal">
    <w:name w:val="x_msonormal"/>
    <w:basedOn w:val="Norml"/>
    <w:rsid w:val="008B2A8A"/>
    <w:rPr>
      <w:rFonts w:ascii="Calibri" w:eastAsiaTheme="minorHAnsi" w:hAnsi="Calibri" w:cs="Calibri"/>
      <w:sz w:val="22"/>
      <w:szCs w:val="22"/>
    </w:rPr>
  </w:style>
  <w:style w:type="paragraph" w:styleId="Vltozat">
    <w:name w:val="Revision"/>
    <w:hidden/>
    <w:uiPriority w:val="99"/>
    <w:semiHidden/>
    <w:rsid w:val="00EB55A4"/>
    <w:rPr>
      <w:rFonts w:ascii="Times New Roman" w:eastAsia="Times New Roman" w:hAnsi="Times New Roman" w:cs="Times New Roman"/>
      <w:sz w:val="24"/>
    </w:rPr>
  </w:style>
  <w:style w:type="character" w:customStyle="1" w:styleId="Feloldatlanmegemlts1">
    <w:name w:val="Feloldatlan megemlítés1"/>
    <w:basedOn w:val="Bekezdsalapbettpusa"/>
    <w:uiPriority w:val="99"/>
    <w:semiHidden/>
    <w:unhideWhenUsed/>
    <w:rsid w:val="00D10A62"/>
    <w:rPr>
      <w:color w:val="605E5C"/>
      <w:shd w:val="clear" w:color="auto" w:fill="E1DFDD"/>
    </w:rPr>
  </w:style>
  <w:style w:type="paragraph" w:customStyle="1" w:styleId="docdata">
    <w:name w:val="docdata"/>
    <w:aliases w:val="docy,v5,5991,bqiaagaaeyqcaaagiaiaaanifaaabxauaaaaaaaaaaaaaaaaaaaaaaaaaaaaaaaaaaaaaaaaaaaaaaaaaaaaaaaaaaaaaaaaaaaaaaaaaaaaaaaaaaaaaaaaaaaaaaaaaaaaaaaaaaaaaaaaaaaaaaaaaaaaaaaaaaaaaaaaaaaaaaaaaaaaaaaaaaaaaaaaaaaaaaaaaaaaaaaaaaaaaaaaaaaaaaaaaaaaaaaa"/>
    <w:basedOn w:val="Norml"/>
    <w:rsid w:val="00D02D1E"/>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87484">
      <w:bodyDiv w:val="1"/>
      <w:marLeft w:val="0"/>
      <w:marRight w:val="0"/>
      <w:marTop w:val="0"/>
      <w:marBottom w:val="0"/>
      <w:divBdr>
        <w:top w:val="none" w:sz="0" w:space="0" w:color="auto"/>
        <w:left w:val="none" w:sz="0" w:space="0" w:color="auto"/>
        <w:bottom w:val="none" w:sz="0" w:space="0" w:color="auto"/>
        <w:right w:val="none" w:sz="0" w:space="0" w:color="auto"/>
      </w:divBdr>
    </w:div>
    <w:div w:id="957182465">
      <w:bodyDiv w:val="1"/>
      <w:marLeft w:val="0"/>
      <w:marRight w:val="0"/>
      <w:marTop w:val="0"/>
      <w:marBottom w:val="0"/>
      <w:divBdr>
        <w:top w:val="none" w:sz="0" w:space="0" w:color="auto"/>
        <w:left w:val="none" w:sz="0" w:space="0" w:color="auto"/>
        <w:bottom w:val="none" w:sz="0" w:space="0" w:color="auto"/>
        <w:right w:val="none" w:sz="0" w:space="0" w:color="auto"/>
      </w:divBdr>
    </w:div>
    <w:div w:id="1144153013">
      <w:bodyDiv w:val="1"/>
      <w:marLeft w:val="0"/>
      <w:marRight w:val="0"/>
      <w:marTop w:val="0"/>
      <w:marBottom w:val="0"/>
      <w:divBdr>
        <w:top w:val="none" w:sz="0" w:space="0" w:color="auto"/>
        <w:left w:val="none" w:sz="0" w:space="0" w:color="auto"/>
        <w:bottom w:val="none" w:sz="0" w:space="0" w:color="auto"/>
        <w:right w:val="none" w:sz="0" w:space="0" w:color="auto"/>
      </w:divBdr>
    </w:div>
    <w:div w:id="1578594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5F8B5-9D9B-4B80-BCF1-15592BC1B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2085</Words>
  <Characters>14387</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Szoboszlai Kinga</dc:creator>
  <cp:lastModifiedBy>Czéhmester Eszter</cp:lastModifiedBy>
  <cp:revision>2</cp:revision>
  <dcterms:created xsi:type="dcterms:W3CDTF">2024-10-21T06:27:00Z</dcterms:created>
  <dcterms:modified xsi:type="dcterms:W3CDTF">2024-10-21T06:27:00Z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